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24, 2022</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333-231808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Post-Effective Amendment No. 1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RATTLER MIDSTREAM LP</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40" w:type="dxa"/>
            <w:vAlign w:val="bottom"/>
          </w:tcPr>
          <w:p>
            <w:pPr>
              <w:jc w:val="center"/>
              <w:ind w:right="34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83-1404608</w:t>
            </w:r>
          </w:p>
        </w:tc>
        <w:tc>
          <w:tcPr>
            <w:tcW w:w="0" w:type="dxa"/>
            <w:vAlign w:val="bottom"/>
          </w:tcPr>
          <w:p>
            <w:pPr>
              <w:spacing w:after="0"/>
              <w:rPr>
                <w:sz w:val="1"/>
                <w:szCs w:val="1"/>
                <w:color w:val="auto"/>
              </w:rPr>
            </w:pPr>
          </w:p>
        </w:tc>
      </w:tr>
      <w:tr>
        <w:trPr>
          <w:trHeight w:val="148"/>
        </w:trPr>
        <w:tc>
          <w:tcPr>
            <w:tcW w:w="6040" w:type="dxa"/>
            <w:vAlign w:val="bottom"/>
          </w:tcPr>
          <w:p>
            <w:pPr>
              <w:jc w:val="center"/>
              <w:ind w:right="348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20" w:type="dxa"/>
            <w:vAlign w:val="bottom"/>
          </w:tcPr>
          <w:p>
            <w:pPr>
              <w:jc w:val="center"/>
              <w:ind w:left="1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040" w:type="dxa"/>
            <w:vAlign w:val="bottom"/>
          </w:tcPr>
          <w:p>
            <w:pPr>
              <w:jc w:val="center"/>
              <w:ind w:right="34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2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36"/>
        </w:trPr>
        <w:tc>
          <w:tcPr>
            <w:tcW w:w="6040" w:type="dxa"/>
            <w:vAlign w:val="bottom"/>
          </w:tcPr>
          <w:p>
            <w:pPr>
              <w:jc w:val="center"/>
              <w:ind w:right="3484"/>
              <w:spacing w:after="0"/>
              <w:rPr>
                <w:sz w:val="20"/>
                <w:szCs w:val="20"/>
                <w:color w:val="auto"/>
              </w:rPr>
            </w:pPr>
            <w:r>
              <w:rPr>
                <w:rFonts w:ascii="Times New Roman" w:cs="Times New Roman" w:eastAsia="Times New Roman" w:hAnsi="Times New Roman"/>
                <w:sz w:val="14"/>
                <w:szCs w:val="14"/>
                <w:b w:val="1"/>
                <w:bCs w:val="1"/>
                <w:color w:val="auto"/>
              </w:rPr>
              <w:t>500 West Texas Avenue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40" w:type="dxa"/>
            <w:vAlign w:val="bottom"/>
          </w:tcPr>
          <w:p>
            <w:pPr>
              <w:jc w:val="center"/>
              <w:ind w:right="3484"/>
              <w:spacing w:after="0" w:line="149" w:lineRule="exact"/>
              <w:rPr>
                <w:sz w:val="20"/>
                <w:szCs w:val="20"/>
                <w:color w:val="auto"/>
              </w:rPr>
            </w:pPr>
            <w:r>
              <w:rPr>
                <w:rFonts w:ascii="Times New Roman" w:cs="Times New Roman" w:eastAsia="Times New Roman" w:hAnsi="Times New Roman"/>
                <w:sz w:val="14"/>
                <w:szCs w:val="14"/>
                <w:b w:val="1"/>
                <w:bCs w:val="1"/>
                <w:color w:val="auto"/>
              </w:rPr>
              <w:t>Suite 1200</w:t>
            </w:r>
          </w:p>
        </w:tc>
        <w:tc>
          <w:tcPr>
            <w:tcW w:w="132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79701</w:t>
            </w:r>
          </w:p>
        </w:tc>
        <w:tc>
          <w:tcPr>
            <w:tcW w:w="0" w:type="dxa"/>
            <w:vAlign w:val="bottom"/>
          </w:tcPr>
          <w:p>
            <w:pPr>
              <w:spacing w:after="0"/>
              <w:rPr>
                <w:sz w:val="1"/>
                <w:szCs w:val="1"/>
                <w:color w:val="auto"/>
              </w:rPr>
            </w:pPr>
          </w:p>
        </w:tc>
      </w:tr>
      <w:tr>
        <w:trPr>
          <w:trHeight w:val="148"/>
        </w:trPr>
        <w:tc>
          <w:tcPr>
            <w:tcW w:w="6040" w:type="dxa"/>
            <w:vAlign w:val="bottom"/>
          </w:tcPr>
          <w:p>
            <w:pPr>
              <w:jc w:val="center"/>
              <w:ind w:right="3504"/>
              <w:spacing w:after="0" w:line="149" w:lineRule="exact"/>
              <w:rPr>
                <w:sz w:val="20"/>
                <w:szCs w:val="20"/>
                <w:color w:val="auto"/>
              </w:rPr>
            </w:pPr>
            <w:r>
              <w:rPr>
                <w:rFonts w:ascii="Times New Roman" w:cs="Times New Roman" w:eastAsia="Times New Roman" w:hAnsi="Times New Roman"/>
                <w:sz w:val="14"/>
                <w:szCs w:val="14"/>
                <w:b w:val="1"/>
                <w:bCs w:val="1"/>
                <w:color w:val="auto"/>
              </w:rPr>
              <w:t>Midland, Texas 79701</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40" w:type="dxa"/>
            <w:vAlign w:val="bottom"/>
          </w:tcPr>
          <w:p>
            <w:pPr>
              <w:jc w:val="center"/>
              <w:ind w:right="350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2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04"/>
        </w:trPr>
        <w:tc>
          <w:tcPr>
            <w:tcW w:w="6040" w:type="dxa"/>
            <w:vAlign w:val="bottom"/>
          </w:tcPr>
          <w:p>
            <w:pPr>
              <w:jc w:val="center"/>
              <w:ind w:left="1804"/>
              <w:spacing w:after="0"/>
              <w:rPr>
                <w:sz w:val="20"/>
                <w:szCs w:val="20"/>
                <w:color w:val="auto"/>
              </w:rPr>
            </w:pPr>
            <w:r>
              <w:rPr>
                <w:rFonts w:ascii="Times New Roman" w:cs="Times New Roman" w:eastAsia="Times New Roman" w:hAnsi="Times New Roman"/>
                <w:sz w:val="18"/>
                <w:szCs w:val="18"/>
                <w:b w:val="1"/>
                <w:bCs w:val="1"/>
                <w:color w:val="auto"/>
                <w:w w:val="99"/>
              </w:rPr>
              <w:t>Rattler Midstream LP Long Term Incentive Plan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40" w:type="dxa"/>
            <w:vAlign w:val="bottom"/>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Teresa L. Dick</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Financial Officer, Executive Vice President and Assistant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Rattler Midstream 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515 Central Park Drive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500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Oklahoma City, Oklahoma 73105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(405) 463-6900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Goodgame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Lisa Hearn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Akin Gump Strauss Hauer &amp; Feld LLP</w:t>
      </w:r>
    </w:p>
    <w:p>
      <w:pPr>
        <w:jc w:val="center"/>
        <w:ind w:right="-39"/>
        <w:spacing w:after="0" w:line="181" w:lineRule="auto"/>
        <w:rPr>
          <w:sz w:val="20"/>
          <w:szCs w:val="20"/>
          <w:color w:val="auto"/>
        </w:rPr>
      </w:pPr>
      <w:r>
        <w:rPr>
          <w:rFonts w:ascii="Times New Roman" w:cs="Times New Roman" w:eastAsia="Times New Roman" w:hAnsi="Times New Roman"/>
          <w:sz w:val="18"/>
          <w:szCs w:val="18"/>
          <w:b w:val="1"/>
          <w:bCs w:val="1"/>
          <w:color w:val="auto"/>
        </w:rPr>
        <w:t>1111 Louisiana Street, 44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(713) 220-8144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245745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117"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relates to the Registration Statement on Form S-8, File No. 333-231808 (the “Registration Statement”), filed by Rattler Midstream LP, a Delaware limited partnership (the “Partnership”), with the Securities and Exchange Commission (the “SEC”) on May 29, 2019, registering the issuance from time to time of 15,151,515 common units representing limited partner interests of the Partnership (“Common Units”) pursuant to the Rattler Midstream LP Long Term Incentive Plan.</w:t>
      </w:r>
    </w:p>
    <w:p>
      <w:pPr>
        <w:spacing w:after="0" w:line="180"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On August 24, 2022, pursuant to the Agreement and Plan of Merger, dated as of May 15, 2022 (the “Merger Agreement”), by and among Diamondback Energy, Inc., a Delaware corporation (“Parent”), the Partnership, Bacchus Merger Sub Company, a Delaware limited liability company and a wholly owned subsidiary of Parent (“Merger Sub”), and Rattler Midstream GP LLC, a Delaware limited liability company and the general partner of the Partnership, each outstanding Common Unit, other than those held by Parent or any of its subsidiaries, was converted into the right to receive</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0.113 of a share of Parent’s common stock, par value $0.01, and Merger Sub merged with and into the Partnership (the “Merger”), with the Partnership surviving the Merger as a limited partnership and wholly owned subsidiary of Parent.</w:t>
      </w:r>
    </w:p>
    <w:p>
      <w:pPr>
        <w:spacing w:after="0" w:line="18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completion of the Merger, the Partnership terminated all offerings of securities pursuant to the Registration Statement. In accordance with undertakings made by the Partnership in the Registration Statement to remove from registration, by means of a post-effective amendment, any of the securities that had been registered for issuance that remain unsold at the termination of such offering, the Partnership hereby removes from registration all of such securities of the Partnership registered but unsold under the Registration Statement as of the filing date of this Post-Effective Amendment No. 1.</w:t>
      </w:r>
    </w:p>
    <w:p>
      <w:pPr>
        <w:sectPr>
          <w:pgSz w:w="11900" w:h="16838" w:orient="portrait"/>
          <w:cols w:equalWidth="0" w:num="1">
            <w:col w:w="10940"/>
          </w:cols>
          <w:pgMar w:left="440" w:top="266" w:right="5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Midland, State of Texas, on August 24, 2022.</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RATTLER MIDSTREAM LP</w:t>
      </w:r>
    </w:p>
    <w:p>
      <w:pPr>
        <w:sectPr>
          <w:pgSz w:w="11900" w:h="16838" w:orient="portrait"/>
          <w:cols w:equalWidth="0" w:num="1">
            <w:col w:w="10760"/>
          </w:cols>
          <w:pgMar w:left="440" w:top="266" w:right="699" w:bottom="1440" w:gutter="0" w:footer="0" w:header="0"/>
        </w:sectPr>
      </w:pP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540"/>
        <w:spacing w:after="0" w:line="282" w:lineRule="auto"/>
        <w:rPr>
          <w:sz w:val="20"/>
          <w:szCs w:val="20"/>
          <w:color w:val="auto"/>
        </w:rPr>
      </w:pPr>
      <w:r>
        <w:rPr>
          <w:rFonts w:ascii="Times New Roman" w:cs="Times New Roman" w:eastAsia="Times New Roman" w:hAnsi="Times New Roman"/>
          <w:sz w:val="18"/>
          <w:szCs w:val="18"/>
          <w:color w:val="auto"/>
        </w:rPr>
        <w:t>Rattler Midstream GP LLC, its general partner</w:t>
      </w:r>
    </w:p>
    <w:p>
      <w:pPr>
        <w:spacing w:after="0" w:line="162" w:lineRule="exact"/>
        <w:rPr>
          <w:sz w:val="20"/>
          <w:szCs w:val="20"/>
          <w:color w:val="auto"/>
        </w:rPr>
      </w:pPr>
    </w:p>
    <w:p>
      <w:pPr>
        <w:sectPr>
          <w:pgSz w:w="11900" w:h="16838" w:orient="portrait"/>
          <w:cols w:equalWidth="0" w:num="2">
            <w:col w:w="6880" w:space="320"/>
            <w:col w:w="3560"/>
          </w:cols>
          <w:pgMar w:left="440" w:top="266" w:right="69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6880" w:space="320"/>
            <w:col w:w="3560"/>
          </w:cols>
          <w:pgMar w:left="440" w:top="266" w:right="69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Name: Teresa L. Dick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 Executive Vice</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Assistant Secretary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Pursuant to Rule 478 of the Securities Act of 1933, as amended, no other person is required to sign this Post-Effective Amendment No. 1 to the Registration Statement.</w:t>
      </w:r>
    </w:p>
    <w:sectPr>
      <w:pgSz w:w="11900" w:h="16838" w:orient="portrait"/>
      <w:cols w:equalWidth="0" w:num="1">
        <w:col w:w="10760"/>
      </w:cols>
      <w:pgMar w:left="440" w:top="266"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2022-08-24T16:28:14Z</dcterms:created>
  <dcterms:modified xsi:type="dcterms:W3CDTF">2022-08-24T16:28:14Z</dcterms:modified>
</cp:coreProperties>
</file>