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-6350</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180" w:space="28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Stice Travis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 WEST TEXAS AVENUE,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RATTLER MIDSTREAM LP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RTLR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08/24/2022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66" w:lineRule="exact"/>
        <w:rPr>
          <w:sz w:val="24"/>
          <w:szCs w:val="24"/>
          <w:color w:val="auto"/>
        </w:rPr>
      </w:pPr>
    </w:p>
    <w:p>
      <w:pPr>
        <w:sectPr>
          <w:pgSz w:w="11900" w:h="16838" w:orient="portrait"/>
          <w:cols w:equalWidth="0" w:num="3">
            <w:col w:w="3200" w:space="720"/>
            <w:col w:w="3300" w:space="515"/>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20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50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Pr>
          <w:p>
            <w:pPr>
              <w:spacing w:after="0"/>
              <w:rPr>
                <w:sz w:val="2"/>
                <w:szCs w:val="2"/>
                <w:color w:val="auto"/>
              </w:rPr>
            </w:pPr>
          </w:p>
        </w:tc>
        <w:tc>
          <w:tcPr>
            <w:tcW w:w="3340" w:type="dxa"/>
            <w:vAlign w:val="bottom"/>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500" w:type="dxa"/>
            <w:vAlign w:val="bottom"/>
            <w:gridSpan w:val="7"/>
            <w:vMerge w:val="continue"/>
          </w:tcPr>
          <w:p>
            <w:pPr>
              <w:spacing w:after="0"/>
              <w:rPr>
                <w:sz w:val="10"/>
                <w:szCs w:val="10"/>
                <w:color w:val="auto"/>
              </w:rPr>
            </w:pPr>
          </w:p>
        </w:tc>
        <w:tc>
          <w:tcPr>
            <w:tcW w:w="420" w:type="dxa"/>
            <w:vAlign w:val="bottom"/>
          </w:tcPr>
          <w:p>
            <w:pPr>
              <w:spacing w:after="0"/>
              <w:rPr>
                <w:sz w:val="10"/>
                <w:szCs w:val="10"/>
                <w:color w:val="auto"/>
              </w:rPr>
            </w:pPr>
          </w:p>
        </w:tc>
        <w:tc>
          <w:tcPr>
            <w:tcW w:w="33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MIDLAND</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79701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180" w:type="dxa"/>
            <w:vAlign w:val="bottom"/>
            <w:gridSpan w:val="8"/>
          </w:tcPr>
          <w:p>
            <w:pPr>
              <w:ind w:left="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180" w:type="dxa"/>
            <w:vAlign w:val="bottom"/>
            <w:gridSpan w:val="8"/>
            <w:vMerge w:val="restart"/>
          </w:tcPr>
          <w:p>
            <w:pPr>
              <w:ind w:left="3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318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15"/>
                <w:szCs w:val="15"/>
                <w:color w:val="auto"/>
              </w:rPr>
            </w:pPr>
          </w:p>
        </w:tc>
        <w:tc>
          <w:tcPr>
            <w:tcW w:w="1260" w:type="dxa"/>
            <w:vAlign w:val="bottom"/>
            <w:gridSpan w:val="3"/>
            <w:vMerge w:val="restart"/>
          </w:tcPr>
          <w:p>
            <w:pPr>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2"/>
          </w:tcPr>
          <w:p>
            <w:pPr>
              <w:ind w:left="360"/>
              <w:spacing w:after="0"/>
              <w:rPr>
                <w:sz w:val="20"/>
                <w:szCs w:val="20"/>
                <w:color w:val="auto"/>
              </w:rPr>
            </w:pPr>
            <w:r>
              <w:rPr>
                <w:rFonts w:ascii="Arial" w:cs="Arial" w:eastAsia="Arial" w:hAnsi="Arial"/>
                <w:sz w:val="13"/>
                <w:szCs w:val="13"/>
                <w:color w:val="auto"/>
              </w:rPr>
              <w:t>Person</w:t>
            </w: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4"/>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7"/>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 w:type="dxa"/>
            <w:vAlign w:val="bottom"/>
          </w:tcPr>
          <w:p>
            <w:pPr>
              <w:spacing w:after="0"/>
              <w:rPr>
                <w:sz w:val="15"/>
                <w:szCs w:val="15"/>
                <w:color w:val="auto"/>
              </w:rPr>
            </w:pPr>
          </w:p>
        </w:tc>
        <w:tc>
          <w:tcPr>
            <w:tcW w:w="1260" w:type="dxa"/>
            <w:vAlign w:val="bottom"/>
            <w:gridSpan w:val="3"/>
          </w:tcPr>
          <w:p>
            <w:pPr>
              <w:ind w:left="3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40" w:type="dxa"/>
            <w:vAlign w:val="bottom"/>
            <w:gridSpan w:val="4"/>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44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440" w:type="dxa"/>
            <w:vAlign w:val="bottom"/>
          </w:tcPr>
          <w:p>
            <w:pPr>
              <w:spacing w:after="0"/>
              <w:rPr>
                <w:sz w:val="13"/>
                <w:szCs w:val="13"/>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400" w:type="dxa"/>
            <w:vAlign w:val="bottom"/>
          </w:tcPr>
          <w:p>
            <w:pPr>
              <w:spacing w:after="0"/>
              <w:rPr>
                <w:sz w:val="13"/>
                <w:szCs w:val="13"/>
                <w:color w:val="auto"/>
              </w:rPr>
            </w:pPr>
          </w:p>
        </w:tc>
        <w:tc>
          <w:tcPr>
            <w:tcW w:w="1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96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4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7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4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5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4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units representing limited</w:t>
            </w: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Stice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40" w:type="dxa"/>
            <w:vAlign w:val="bottom"/>
            <w:gridSpan w:val="6"/>
            <w:vMerge w:val="continue"/>
          </w:tcPr>
          <w:p>
            <w:pPr>
              <w:spacing w:after="0"/>
              <w:rPr>
                <w:sz w:val="9"/>
                <w:szCs w:val="9"/>
                <w:color w:val="auto"/>
              </w:rPr>
            </w:pPr>
          </w:p>
        </w:tc>
        <w:tc>
          <w:tcPr>
            <w:tcW w:w="126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08/24/2022</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w w:val="84"/>
              </w:rPr>
              <w:t>D</w:t>
            </w:r>
          </w:p>
        </w:tc>
        <w:tc>
          <w:tcPr>
            <w:tcW w:w="520" w:type="dxa"/>
            <w:vAlign w:val="bottom"/>
          </w:tcPr>
          <w:p>
            <w:pPr>
              <w:spacing w:after="0"/>
              <w:rPr>
                <w:sz w:val="9"/>
                <w:szCs w:val="9"/>
                <w:color w:val="auto"/>
              </w:rPr>
            </w:pPr>
          </w:p>
        </w:tc>
        <w:tc>
          <w:tcPr>
            <w:tcW w:w="960" w:type="dxa"/>
            <w:vAlign w:val="bottom"/>
            <w:vMerge w:val="restart"/>
          </w:tcPr>
          <w:p>
            <w:pPr>
              <w:ind w:left="60"/>
              <w:spacing w:after="0" w:line="213" w:lineRule="exact"/>
              <w:rPr>
                <w:sz w:val="20"/>
                <w:szCs w:val="20"/>
                <w:color w:val="auto"/>
              </w:rPr>
            </w:pPr>
            <w:r>
              <w:rPr>
                <w:rFonts w:ascii="Times New Roman" w:cs="Times New Roman" w:eastAsia="Times New Roman" w:hAnsi="Times New Roman"/>
                <w:sz w:val="17"/>
                <w:szCs w:val="17"/>
                <w:color w:val="0000FF"/>
                <w:w w:val="98"/>
              </w:rPr>
              <w:t>177,996</w:t>
            </w:r>
            <w:r>
              <w:rPr>
                <w:rFonts w:ascii="Times New Roman" w:cs="Times New Roman" w:eastAsia="Times New Roman" w:hAnsi="Times New Roman"/>
                <w:sz w:val="22"/>
                <w:szCs w:val="22"/>
                <w:color w:val="008000"/>
                <w:w w:val="98"/>
                <w:vertAlign w:val="superscript"/>
              </w:rPr>
              <w:t>(1)(2)</w:t>
            </w: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420" w:type="dxa"/>
            <w:vAlign w:val="bottom"/>
            <w:vMerge w:val="restart"/>
          </w:tcPr>
          <w:p>
            <w:pPr>
              <w:jc w:val="right"/>
              <w:ind w:right="1"/>
              <w:spacing w:after="0"/>
              <w:rPr>
                <w:sz w:val="20"/>
                <w:szCs w:val="20"/>
                <w:color w:val="auto"/>
              </w:rPr>
            </w:pPr>
            <w:r>
              <w:rPr>
                <w:rFonts w:ascii="Times New Roman" w:cs="Times New Roman" w:eastAsia="Times New Roman" w:hAnsi="Times New Roman"/>
                <w:sz w:val="11"/>
                <w:szCs w:val="11"/>
                <w:color w:val="008000"/>
              </w:rPr>
              <w:t>(1)</w:t>
            </w:r>
          </w:p>
        </w:tc>
        <w:tc>
          <w:tcPr>
            <w:tcW w:w="900" w:type="dxa"/>
            <w:vAlign w:val="bottom"/>
            <w:gridSpan w:val="3"/>
            <w:vMerge w:val="restart"/>
          </w:tcPr>
          <w:p>
            <w:pPr>
              <w:jc w:val="right"/>
              <w:ind w:right="59"/>
              <w:spacing w:after="0"/>
              <w:rPr>
                <w:sz w:val="20"/>
                <w:szCs w:val="20"/>
                <w:color w:val="auto"/>
              </w:rPr>
            </w:pPr>
            <w:r>
              <w:rPr>
                <w:rFonts w:ascii="Times New Roman" w:cs="Times New Roman" w:eastAsia="Times New Roman" w:hAnsi="Times New Roman"/>
                <w:sz w:val="17"/>
                <w:szCs w:val="17"/>
                <w:color w:val="0000FF"/>
              </w:rPr>
              <w:t>0</w:t>
            </w:r>
          </w:p>
        </w:tc>
        <w:tc>
          <w:tcPr>
            <w:tcW w:w="440" w:type="dxa"/>
            <w:vAlign w:val="bottom"/>
          </w:tcPr>
          <w:p>
            <w:pPr>
              <w:spacing w:after="0"/>
              <w:rPr>
                <w:sz w:val="9"/>
                <w:szCs w:val="9"/>
                <w:color w:val="auto"/>
              </w:rPr>
            </w:pPr>
          </w:p>
        </w:tc>
        <w:tc>
          <w:tcPr>
            <w:tcW w:w="50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9"/>
                <w:szCs w:val="9"/>
                <w:color w:val="auto"/>
              </w:rPr>
            </w:pPr>
          </w:p>
        </w:tc>
        <w:tc>
          <w:tcPr>
            <w:tcW w:w="11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 interests</w:t>
            </w: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Ltd.</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60" w:type="dxa"/>
            <w:vAlign w:val="bottom"/>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80" w:type="dxa"/>
            <w:vAlign w:val="bottom"/>
            <w:gridSpan w:val="14"/>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 w:type="dxa"/>
            <w:vAlign w:val="bottom"/>
          </w:tcPr>
          <w:p>
            <w:pPr>
              <w:spacing w:after="0"/>
              <w:rPr>
                <w:sz w:val="15"/>
                <w:szCs w:val="15"/>
                <w:color w:val="auto"/>
              </w:rPr>
            </w:pPr>
          </w:p>
        </w:tc>
        <w:tc>
          <w:tcPr>
            <w:tcW w:w="1260" w:type="dxa"/>
            <w:vAlign w:val="bottom"/>
            <w:gridSpan w:val="3"/>
          </w:tcPr>
          <w:p>
            <w:pPr>
              <w:ind w:left="1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12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5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78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6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7"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that certain Agreement and Plan of Merger dated May 15, 2022 by and among the Issuer, Diamondback Energy, Inc. ("Diamondback"), Rattler Midstream GP LLC, the general partner of Issuer, and Bacchus Merger Sub Company, a wholly owned subsidiary of Diamondback ("Merger Sub"), on August 24, 2022, Merger Sub merged with and into the Issuer, with the Issuer surviving as an indirect, wholly owned subsidiary of Diamondback (the "Merger"). At the effective time of the Merger (the "Effective Time"), each outstanding Common Unit held by the Reporting Person was converted into the right to receive 0.113 shares (the "Exchange Ratio") of common stock, par value $0.01 per share ("Common Stock"), of Diamondback.</w:t>
      </w:r>
    </w:p>
    <w:p>
      <w:pPr>
        <w:spacing w:after="0" w:line="24"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45,715 phantom units granted under the Rattler Midstream LP Long-Term Incentive Plan that were converted, at the Effective Time, into an award of restricted stock units ("RSUs") relating to a number of shares of Common Stock, as adjusted by the Exchange Ratio. Such RSUs are scheduled to vest in two remaining substantially equal installments beginning on May 28, 2023.</w:t>
      </w:r>
    </w:p>
    <w:p>
      <w:pPr>
        <w:spacing w:after="0" w:line="7" w:lineRule="exact"/>
        <w:rPr>
          <w:rFonts w:ascii="Times New Roman" w:cs="Times New Roman" w:eastAsia="Times New Roman" w:hAnsi="Times New Roman"/>
          <w:sz w:val="13"/>
          <w:szCs w:val="13"/>
          <w:color w:val="008000"/>
        </w:rPr>
      </w:pPr>
    </w:p>
    <w:p>
      <w:pPr>
        <w:ind w:left="40" w:right="66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by Stice Investments, Ltd., which is managed by Stice Management, LLC, its general partner. Mr. Stice and his spouse hold 100% of the membership interests in Stice Management, LLC, of which Mr. Stice is the manager.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Teresa L. Dick, as attorney- </w:t>
      </w:r>
      <w:r>
        <w:rPr>
          <w:rFonts w:ascii="Times New Roman" w:cs="Times New Roman" w:eastAsia="Times New Roman" w:hAnsi="Times New Roman"/>
          <w:sz w:val="34"/>
          <w:szCs w:val="34"/>
          <w:color w:val="0000FF"/>
          <w:vertAlign w:val="subscript"/>
        </w:rPr>
        <w:t>08/24/2022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Travis D. Stice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29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90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59933" TargetMode="External"/><Relationship Id="rId13" Type="http://schemas.openxmlformats.org/officeDocument/2006/relationships/hyperlink" Target="http://www.sec.gov/cgi-bin/browse-edgar?action=getcompany&amp;CIK=00017487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2022-08-24T16:24:58Z</dcterms:created>
  <dcterms:modified xsi:type="dcterms:W3CDTF">2022-08-24T16:24:58Z</dcterms:modified>
</cp:coreProperties>
</file>