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Van't Hof Matthew Kaes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WEST TEXAS AVENUE,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RATTLER MIDSTREAM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RTLR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5"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gridSpan w:val="9"/>
            <w:vMerge w:val="restart"/>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820" w:type="dxa"/>
            <w:vAlign w:val="bottom"/>
            <w:gridSpan w:val="7"/>
            <w:vMerge w:val="continue"/>
          </w:tcPr>
          <w:p>
            <w:pPr>
              <w:spacing w:after="0"/>
              <w:rPr>
                <w:sz w:val="10"/>
                <w:szCs w:val="10"/>
                <w:color w:val="auto"/>
              </w:rPr>
            </w:pPr>
          </w:p>
        </w:tc>
        <w:tc>
          <w:tcPr>
            <w:tcW w:w="34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4"/>
          </w:tcPr>
          <w:p>
            <w:pPr>
              <w:ind w:left="14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MIDLAND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79701</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15"/>
                <w:szCs w:val="15"/>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5"/>
                <w:szCs w:val="15"/>
                <w:color w:val="auto"/>
              </w:rPr>
            </w:pP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40" w:type="dxa"/>
            <w:vAlign w:val="bottom"/>
            <w:tcBorders>
              <w:bottom w:val="single" w:sz="8" w:color="2C2C2C"/>
            </w:tcBorders>
            <w:gridSpan w:val="6"/>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units representing limited</w:t>
            </w:r>
          </w:p>
        </w:tc>
        <w:tc>
          <w:tcPr>
            <w:tcW w:w="1640" w:type="dxa"/>
            <w:vAlign w:val="bottom"/>
            <w:gridSpan w:val="3"/>
            <w:vMerge w:val="restart"/>
          </w:tcPr>
          <w:p>
            <w:pPr>
              <w:ind w:left="680"/>
              <w:spacing w:after="0"/>
              <w:rPr>
                <w:sz w:val="20"/>
                <w:szCs w:val="20"/>
                <w:color w:val="auto"/>
              </w:rPr>
            </w:pPr>
            <w:r>
              <w:rPr>
                <w:rFonts w:ascii="Times New Roman" w:cs="Times New Roman" w:eastAsia="Times New Roman" w:hAnsi="Times New Roman"/>
                <w:sz w:val="17"/>
                <w:szCs w:val="17"/>
                <w:color w:val="0000FF"/>
              </w:rPr>
              <w:t>08/24/2022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864,027</w:t>
            </w:r>
            <w:r>
              <w:rPr>
                <w:rFonts w:ascii="Times New Roman" w:cs="Times New Roman" w:eastAsia="Times New Roman" w:hAnsi="Times New Roman"/>
                <w:sz w:val="22"/>
                <w:szCs w:val="22"/>
                <w:color w:val="008000"/>
                <w:vertAlign w:val="superscript"/>
              </w:rPr>
              <w:t>(1)(2)</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 interests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 w:type="dxa"/>
            <w:vAlign w:val="bottom"/>
          </w:tcPr>
          <w:p>
            <w:pPr>
              <w:spacing w:after="0"/>
              <w:rPr>
                <w:sz w:val="15"/>
                <w:szCs w:val="15"/>
                <w:color w:val="auto"/>
              </w:rPr>
            </w:pP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that certain Agreement and Plan of Merger dated May 15, 2022 by and among the Issuer, Diamondback Energy, Inc. ("Diamondback"), Rattler Midstream GP LLC, the general partner of Issuer, and Bacchus Merger Sub Company, a wholly owned subsidiary of Diamondback ("Merger Sub"), on August 24, 2022, Merger Sub merged with and into the Issuer, with the Issuer surviving as an indirect, wholly owned subsidiary of Diamondback (the "Merger"). At the effective time of the Merger (the "Effective Time"), each outstanding Common Unit held by the Reporting Person was converted into the right to receive 0.113 shares (the "Exchange Ratio") of common stock, par value $0.01 per share ("Common Stock"), of Diamondback.</w:t>
      </w:r>
    </w:p>
    <w:p>
      <w:pPr>
        <w:spacing w:after="0" w:line="24"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457,143 phantom units granted under the Rattler Midstream LP Long-Term Incentive Plan that were converted, at the Effective Time, into an award of restricted stock units ("RSUs") relating to a number of shares of Common Stock, as adjusted by the Exchange Ratio. Such RSUs are scheduled to vest in two remaining substantially equal installments beginning on May 28,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Teresa L. Dick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Matthew Kaes Van't 08/24/2022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70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4666" TargetMode="External"/><Relationship Id="rId13" Type="http://schemas.openxmlformats.org/officeDocument/2006/relationships/hyperlink" Target="http://www.sec.gov/cgi-bin/browse-edgar?action=getcompany&amp;CIK=00017487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2022-08-24T16:29:12Z</dcterms:created>
  <dcterms:modified xsi:type="dcterms:W3CDTF">2022-08-24T16:29:12Z</dcterms:modified>
</cp:coreProperties>
</file>