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365760</wp:posOffset>
            </wp:positionH>
            <wp:positionV relativeFrom="page">
              <wp:posOffset>473710</wp:posOffset>
            </wp:positionV>
            <wp:extent cx="682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6250" cy="8255"/>
                    </a:xfrm>
                    <a:prstGeom prst="rect">
                      <a:avLst/>
                    </a:prstGeom>
                    <a:noFill/>
                  </pic:spPr>
                </pic:pic>
              </a:graphicData>
            </a:graphic>
          </wp:anchor>
        </w:drawing>
        <w:drawing>
          <wp:anchor simplePos="0" relativeHeight="251657728" behindDoc="1" locked="0" layoutInCell="0" allowOverlap="1">
            <wp:simplePos x="0" y="0"/>
            <wp:positionH relativeFrom="page">
              <wp:posOffset>365760</wp:posOffset>
            </wp:positionH>
            <wp:positionV relativeFrom="page">
              <wp:posOffset>431800</wp:posOffset>
            </wp:positionV>
            <wp:extent cx="68262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6250" cy="16510"/>
                    </a:xfrm>
                    <a:prstGeom prst="rect">
                      <a:avLst/>
                    </a:prstGeom>
                    <a:noFill/>
                  </pic:spPr>
                </pic:pic>
              </a:graphicData>
            </a:graphic>
          </wp:anchor>
        </w:drawing>
        <w:t>UNITED STATES</w:t>
      </w:r>
    </w:p>
    <w:p>
      <w:pPr>
        <w:jc w:val="center"/>
        <w:spacing w:after="0" w:line="207"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2261870</wp:posOffset>
            </wp:positionH>
            <wp:positionV relativeFrom="paragraph">
              <wp:posOffset>99695</wp:posOffset>
            </wp:positionV>
            <wp:extent cx="2618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2261870</wp:posOffset>
            </wp:positionH>
            <wp:positionV relativeFrom="paragraph">
              <wp:posOffset>68580</wp:posOffset>
            </wp:positionV>
            <wp:extent cx="2618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254" w:lineRule="exact"/>
        <w:rPr>
          <w:sz w:val="24"/>
          <w:szCs w:val="24"/>
          <w:color w:val="auto"/>
        </w:rPr>
      </w:pPr>
    </w:p>
    <w:p>
      <w:pPr>
        <w:ind w:left="3960" w:right="2640" w:hanging="3937"/>
        <w:spacing w:after="0" w:line="393" w:lineRule="auto"/>
        <w:tabs>
          <w:tab w:leader="none" w:pos="634"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UNDER SECTION 13 OR 15(d) OF THE SECURITIES EXCHANGE ACT OF 1934 For the fiscal year ended December 31, 2021</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6" w:lineRule="exact"/>
        <w:rPr>
          <w:sz w:val="24"/>
          <w:szCs w:val="24"/>
          <w:color w:val="auto"/>
        </w:rPr>
      </w:pPr>
    </w:p>
    <w:p>
      <w:pPr>
        <w:ind w:left="4260" w:right="2700" w:hanging="4237"/>
        <w:spacing w:after="0" w:line="393" w:lineRule="auto"/>
        <w:tabs>
          <w:tab w:leader="none" w:pos="641"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UNDER SECTION 13 OR 15(d) OF SECURITIES EXCHANGE ACT OF 1934 Commission File Number 001-38919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2261870</wp:posOffset>
            </wp:positionH>
            <wp:positionV relativeFrom="paragraph">
              <wp:posOffset>4445</wp:posOffset>
            </wp:positionV>
            <wp:extent cx="261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Rattler Midstream LP</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2261870</wp:posOffset>
            </wp:positionH>
            <wp:positionV relativeFrom="paragraph">
              <wp:posOffset>62865</wp:posOffset>
            </wp:positionV>
            <wp:extent cx="261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8105" cy="8255"/>
                    </a:xfrm>
                    <a:prstGeom prst="rect">
                      <a:avLst/>
                    </a:prstGeom>
                    <a:noFill/>
                  </pic:spPr>
                </pic:pic>
              </a:graphicData>
            </a:graphic>
          </wp:anchor>
        </w:drawing>
      </w:r>
    </w:p>
    <w:p>
      <w:pPr>
        <w:spacing w:after="0" w:line="231" w:lineRule="exact"/>
        <w:rPr>
          <w:sz w:val="24"/>
          <w:szCs w:val="24"/>
          <w:color w:val="auto"/>
        </w:rPr>
      </w:pPr>
    </w:p>
    <w:tbl>
      <w:tblPr>
        <w:tblLayout w:type="fixed"/>
        <w:tblInd w:w="580" w:type="dxa"/>
        <w:tblCellMar>
          <w:top w:w="0" w:type="dxa"/>
          <w:left w:w="0" w:type="dxa"/>
          <w:bottom w:w="0" w:type="dxa"/>
          <w:right w:w="0" w:type="dxa"/>
        </w:tblCellMar>
      </w:tblPr>
      <w:tr>
        <w:trPr>
          <w:trHeight w:val="228"/>
        </w:trPr>
        <w:tc>
          <w:tcPr>
            <w:tcW w:w="6900" w:type="dxa"/>
            <w:vAlign w:val="bottom"/>
          </w:tcPr>
          <w:p>
            <w:pPr>
              <w:jc w:val="center"/>
              <w:ind w:right="3084"/>
              <w:spacing w:after="0"/>
              <w:rPr>
                <w:sz w:val="20"/>
                <w:szCs w:val="20"/>
                <w:color w:val="auto"/>
              </w:rPr>
            </w:pPr>
            <w:r>
              <w:rPr>
                <w:rFonts w:ascii="Arial" w:cs="Arial" w:eastAsia="Arial" w:hAnsi="Arial"/>
                <w:sz w:val="16"/>
                <w:szCs w:val="16"/>
                <w:b w:val="1"/>
                <w:bCs w:val="1"/>
                <w:color w:val="auto"/>
                <w:w w:val="98"/>
              </w:rPr>
              <w:t>DE</w:t>
            </w:r>
          </w:p>
        </w:tc>
        <w:tc>
          <w:tcPr>
            <w:tcW w:w="2700" w:type="dxa"/>
            <w:vAlign w:val="bottom"/>
          </w:tcPr>
          <w:p>
            <w:pPr>
              <w:jc w:val="right"/>
              <w:ind w:right="723"/>
              <w:spacing w:after="0"/>
              <w:rPr>
                <w:sz w:val="20"/>
                <w:szCs w:val="20"/>
                <w:color w:val="auto"/>
              </w:rPr>
            </w:pPr>
            <w:r>
              <w:rPr>
                <w:rFonts w:ascii="Arial" w:cs="Arial" w:eastAsia="Arial" w:hAnsi="Arial"/>
                <w:sz w:val="18"/>
                <w:szCs w:val="18"/>
                <w:b w:val="1"/>
                <w:bCs w:val="1"/>
                <w:color w:val="auto"/>
              </w:rPr>
              <w:t>83-1404608</w:t>
            </w:r>
          </w:p>
        </w:tc>
      </w:tr>
      <w:tr>
        <w:trPr>
          <w:trHeight w:val="372"/>
        </w:trPr>
        <w:tc>
          <w:tcPr>
            <w:tcW w:w="6900" w:type="dxa"/>
            <w:vAlign w:val="bottom"/>
          </w:tcPr>
          <w:p>
            <w:pPr>
              <w:jc w:val="center"/>
              <w:ind w:right="3084"/>
              <w:spacing w:after="0"/>
              <w:rPr>
                <w:sz w:val="20"/>
                <w:szCs w:val="20"/>
                <w:color w:val="auto"/>
              </w:rPr>
            </w:pPr>
            <w:r>
              <w:rPr>
                <w:rFonts w:ascii="Arial" w:cs="Arial" w:eastAsia="Arial" w:hAnsi="Arial"/>
                <w:sz w:val="14"/>
                <w:szCs w:val="14"/>
                <w:b w:val="1"/>
                <w:bCs w:val="1"/>
                <w:color w:val="auto"/>
                <w:w w:val="92"/>
              </w:rPr>
              <w:t>(State or Other Jurisdiction of Incorporation or Organization)</w:t>
            </w:r>
          </w:p>
        </w:tc>
        <w:tc>
          <w:tcPr>
            <w:tcW w:w="2700" w:type="dxa"/>
            <w:vAlign w:val="bottom"/>
          </w:tcPr>
          <w:p>
            <w:pPr>
              <w:jc w:val="center"/>
              <w:ind w:left="183"/>
              <w:spacing w:after="0"/>
              <w:rPr>
                <w:sz w:val="20"/>
                <w:szCs w:val="20"/>
                <w:color w:val="auto"/>
              </w:rPr>
            </w:pPr>
            <w:r>
              <w:rPr>
                <w:rFonts w:ascii="Arial" w:cs="Arial" w:eastAsia="Arial" w:hAnsi="Arial"/>
                <w:sz w:val="14"/>
                <w:szCs w:val="14"/>
                <w:b w:val="1"/>
                <w:bCs w:val="1"/>
                <w:color w:val="auto"/>
                <w:w w:val="93"/>
              </w:rPr>
              <w:t>(I.R.S. Employer Identification Number)</w:t>
            </w:r>
          </w:p>
        </w:tc>
      </w:tr>
      <w:tr>
        <w:trPr>
          <w:trHeight w:val="570"/>
        </w:trPr>
        <w:tc>
          <w:tcPr>
            <w:tcW w:w="6900" w:type="dxa"/>
            <w:vAlign w:val="bottom"/>
          </w:tcPr>
          <w:p>
            <w:pPr>
              <w:jc w:val="center"/>
              <w:ind w:right="3104"/>
              <w:spacing w:after="0"/>
              <w:rPr>
                <w:sz w:val="20"/>
                <w:szCs w:val="20"/>
                <w:color w:val="auto"/>
              </w:rPr>
            </w:pPr>
            <w:r>
              <w:rPr>
                <w:rFonts w:ascii="Arial" w:cs="Arial" w:eastAsia="Arial" w:hAnsi="Arial"/>
                <w:sz w:val="16"/>
                <w:szCs w:val="16"/>
                <w:b w:val="1"/>
                <w:bCs w:val="1"/>
                <w:color w:val="auto"/>
                <w:w w:val="87"/>
              </w:rPr>
              <w:t>500 West Texas</w:t>
            </w:r>
          </w:p>
        </w:tc>
        <w:tc>
          <w:tcPr>
            <w:tcW w:w="2700" w:type="dxa"/>
            <w:vAlign w:val="bottom"/>
          </w:tcPr>
          <w:p>
            <w:pPr>
              <w:spacing w:after="0"/>
              <w:rPr>
                <w:sz w:val="24"/>
                <w:szCs w:val="24"/>
                <w:color w:val="auto"/>
              </w:rPr>
            </w:pPr>
          </w:p>
        </w:tc>
      </w:tr>
      <w:tr>
        <w:trPr>
          <w:trHeight w:val="211"/>
        </w:trPr>
        <w:tc>
          <w:tcPr>
            <w:tcW w:w="6900" w:type="dxa"/>
            <w:vAlign w:val="bottom"/>
          </w:tcPr>
          <w:p>
            <w:pPr>
              <w:jc w:val="center"/>
              <w:ind w:right="3084"/>
              <w:spacing w:after="0"/>
              <w:rPr>
                <w:sz w:val="20"/>
                <w:szCs w:val="20"/>
                <w:color w:val="auto"/>
              </w:rPr>
            </w:pPr>
            <w:r>
              <w:rPr>
                <w:rFonts w:ascii="Arial" w:cs="Arial" w:eastAsia="Arial" w:hAnsi="Arial"/>
                <w:sz w:val="16"/>
                <w:szCs w:val="16"/>
                <w:b w:val="1"/>
                <w:bCs w:val="1"/>
                <w:color w:val="auto"/>
                <w:w w:val="88"/>
              </w:rPr>
              <w:t>Suite 1200</w:t>
            </w:r>
          </w:p>
        </w:tc>
        <w:tc>
          <w:tcPr>
            <w:tcW w:w="2700" w:type="dxa"/>
            <w:vAlign w:val="bottom"/>
          </w:tcPr>
          <w:p>
            <w:pPr>
              <w:spacing w:after="0"/>
              <w:rPr>
                <w:sz w:val="18"/>
                <w:szCs w:val="18"/>
                <w:color w:val="auto"/>
              </w:rPr>
            </w:pPr>
          </w:p>
        </w:tc>
      </w:tr>
      <w:tr>
        <w:trPr>
          <w:trHeight w:val="211"/>
        </w:trPr>
        <w:tc>
          <w:tcPr>
            <w:tcW w:w="6900" w:type="dxa"/>
            <w:vAlign w:val="bottom"/>
          </w:tcPr>
          <w:p>
            <w:pPr>
              <w:ind w:left="1320"/>
              <w:spacing w:after="0"/>
              <w:rPr>
                <w:sz w:val="20"/>
                <w:szCs w:val="20"/>
                <w:color w:val="auto"/>
              </w:rPr>
            </w:pPr>
            <w:r>
              <w:rPr>
                <w:rFonts w:ascii="Arial" w:cs="Arial" w:eastAsia="Arial" w:hAnsi="Arial"/>
                <w:sz w:val="16"/>
                <w:szCs w:val="16"/>
                <w:b w:val="1"/>
                <w:bCs w:val="1"/>
                <w:color w:val="auto"/>
              </w:rPr>
              <w:t>Midland, TX</w:t>
            </w:r>
          </w:p>
        </w:tc>
        <w:tc>
          <w:tcPr>
            <w:tcW w:w="2700" w:type="dxa"/>
            <w:vAlign w:val="bottom"/>
          </w:tcPr>
          <w:p>
            <w:pPr>
              <w:jc w:val="right"/>
              <w:ind w:right="943"/>
              <w:spacing w:after="0"/>
              <w:rPr>
                <w:sz w:val="20"/>
                <w:szCs w:val="20"/>
                <w:color w:val="auto"/>
              </w:rPr>
            </w:pPr>
            <w:r>
              <w:rPr>
                <w:rFonts w:ascii="Arial" w:cs="Arial" w:eastAsia="Arial" w:hAnsi="Arial"/>
                <w:sz w:val="16"/>
                <w:szCs w:val="16"/>
                <w:b w:val="1"/>
                <w:bCs w:val="1"/>
                <w:color w:val="auto"/>
              </w:rPr>
              <w:t>79701</w:t>
            </w:r>
          </w:p>
        </w:tc>
      </w:tr>
      <w:tr>
        <w:trPr>
          <w:trHeight w:val="391"/>
        </w:trPr>
        <w:tc>
          <w:tcPr>
            <w:tcW w:w="6900" w:type="dxa"/>
            <w:vAlign w:val="bottom"/>
          </w:tcPr>
          <w:p>
            <w:pPr>
              <w:jc w:val="center"/>
              <w:ind w:right="3104"/>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700" w:type="dxa"/>
            <w:vAlign w:val="bottom"/>
          </w:tcPr>
          <w:p>
            <w:pPr>
              <w:jc w:val="center"/>
              <w:ind w:left="183"/>
              <w:spacing w:after="0"/>
              <w:rPr>
                <w:sz w:val="20"/>
                <w:szCs w:val="20"/>
                <w:color w:val="auto"/>
              </w:rPr>
            </w:pPr>
            <w:r>
              <w:rPr>
                <w:rFonts w:ascii="Arial" w:cs="Arial" w:eastAsia="Arial" w:hAnsi="Arial"/>
                <w:sz w:val="14"/>
                <w:szCs w:val="14"/>
                <w:b w:val="1"/>
                <w:bCs w:val="1"/>
                <w:color w:val="auto"/>
                <w:w w:val="89"/>
              </w:rPr>
              <w:t>(Zip code)</w:t>
            </w:r>
          </w:p>
        </w:tc>
      </w:tr>
      <w:tr>
        <w:trPr>
          <w:trHeight w:val="476"/>
        </w:trPr>
        <w:tc>
          <w:tcPr>
            <w:tcW w:w="6900" w:type="dxa"/>
            <w:vAlign w:val="bottom"/>
          </w:tcPr>
          <w:p>
            <w:pPr>
              <w:jc w:val="right"/>
              <w:ind w:right="1284"/>
              <w:spacing w:after="0"/>
              <w:rPr>
                <w:sz w:val="20"/>
                <w:szCs w:val="20"/>
                <w:color w:val="auto"/>
              </w:rPr>
            </w:pPr>
            <w:r>
              <w:rPr>
                <w:rFonts w:ascii="Arial" w:cs="Arial" w:eastAsia="Arial" w:hAnsi="Arial"/>
                <w:sz w:val="16"/>
                <w:szCs w:val="16"/>
                <w:b w:val="1"/>
                <w:bCs w:val="1"/>
                <w:color w:val="auto"/>
              </w:rPr>
              <w:t>(432) 221-7400</w:t>
            </w:r>
          </w:p>
        </w:tc>
        <w:tc>
          <w:tcPr>
            <w:tcW w:w="2700" w:type="dxa"/>
            <w:vAlign w:val="bottom"/>
          </w:tcPr>
          <w:p>
            <w:pPr>
              <w:spacing w:after="0"/>
              <w:rPr>
                <w:sz w:val="24"/>
                <w:szCs w:val="24"/>
                <w:color w:val="auto"/>
              </w:rPr>
            </w:pPr>
          </w:p>
        </w:tc>
      </w:tr>
      <w:tr>
        <w:trPr>
          <w:trHeight w:val="183"/>
        </w:trPr>
        <w:tc>
          <w:tcPr>
            <w:tcW w:w="6900" w:type="dxa"/>
            <w:vAlign w:val="bottom"/>
          </w:tcPr>
          <w:p>
            <w:pPr>
              <w:jc w:val="center"/>
              <w:ind w:left="3104"/>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700" w:type="dxa"/>
            <w:vAlign w:val="bottom"/>
          </w:tcPr>
          <w:p>
            <w:pPr>
              <w:spacing w:after="0"/>
              <w:rPr>
                <w:sz w:val="15"/>
                <w:szCs w:val="15"/>
                <w:color w:val="auto"/>
              </w:rPr>
            </w:pP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40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w w:val="85"/>
              </w:rPr>
              <w:t>Title of each class</w:t>
            </w:r>
          </w:p>
        </w:tc>
        <w:tc>
          <w:tcPr>
            <w:tcW w:w="17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Trading Symbol(s)</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left="1"/>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24"/>
        </w:trPr>
        <w:tc>
          <w:tcPr>
            <w:tcW w:w="2600" w:type="dxa"/>
            <w:vAlign w:val="bottom"/>
          </w:tcPr>
          <w:p>
            <w:pPr>
              <w:spacing w:after="0"/>
              <w:rPr>
                <w:sz w:val="19"/>
                <w:szCs w:val="19"/>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2"/>
              </w:rPr>
              <w:t>Common Units</w:t>
            </w:r>
          </w:p>
        </w:tc>
        <w:tc>
          <w:tcPr>
            <w:tcW w:w="12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RTLR</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11"/>
        </w:trPr>
        <w:tc>
          <w:tcPr>
            <w:tcW w:w="2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w w:val="93"/>
              </w:rPr>
              <w:t>(NASDAQ Global Select Market)</w:t>
            </w:r>
          </w:p>
        </w:tc>
      </w:tr>
      <w:tr>
        <w:trPr>
          <w:trHeight w:val="270"/>
        </w:trPr>
        <w:tc>
          <w:tcPr>
            <w:tcW w:w="2600" w:type="dxa"/>
            <w:vAlign w:val="bottom"/>
          </w:tcPr>
          <w:p>
            <w:pPr>
              <w:spacing w:after="0"/>
              <w:rPr>
                <w:sz w:val="23"/>
                <w:szCs w:val="23"/>
                <w:color w:val="auto"/>
              </w:rPr>
            </w:pPr>
          </w:p>
        </w:tc>
        <w:tc>
          <w:tcPr>
            <w:tcW w:w="7960" w:type="dxa"/>
            <w:vAlign w:val="bottom"/>
            <w:gridSpan w:val="9"/>
          </w:tcPr>
          <w:p>
            <w:pPr>
              <w:jc w:val="center"/>
              <w:ind w:right="1841"/>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r>
      <w:tr>
        <w:trPr>
          <w:trHeight w:val="224"/>
        </w:trPr>
        <w:tc>
          <w:tcPr>
            <w:tcW w:w="2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88"/>
              </w:rPr>
              <w:t>None</w:t>
            </w:r>
          </w:p>
        </w:tc>
        <w:tc>
          <w:tcPr>
            <w:tcW w:w="5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565"/>
        </w:trPr>
        <w:tc>
          <w:tcPr>
            <w:tcW w:w="6720" w:type="dxa"/>
            <w:vAlign w:val="bottom"/>
            <w:gridSpan w:val="6"/>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5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3"/>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24"/>
        </w:trPr>
        <w:tc>
          <w:tcPr>
            <w:tcW w:w="6720" w:type="dxa"/>
            <w:vAlign w:val="bottom"/>
            <w:gridSpan w:val="6"/>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540" w:type="dxa"/>
            <w:vAlign w:val="bottom"/>
          </w:tcPr>
          <w:p>
            <w:pPr>
              <w:ind w:left="14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30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 w:lineRule="exact"/>
        <w:rPr>
          <w:sz w:val="24"/>
          <w:szCs w:val="24"/>
          <w:color w:val="auto"/>
        </w:rPr>
      </w:pPr>
    </w:p>
    <w:p>
      <w:pPr>
        <w:jc w:val="both"/>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 w:lineRule="exact"/>
        <w:rPr>
          <w:sz w:val="24"/>
          <w:szCs w:val="24"/>
          <w:color w:val="auto"/>
        </w:rPr>
      </w:pPr>
    </w:p>
    <w:p>
      <w:pPr>
        <w:jc w:val="both"/>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 w:lineRule="exact"/>
        <w:rPr>
          <w:sz w:val="24"/>
          <w:szCs w:val="24"/>
          <w:color w:val="auto"/>
        </w:rPr>
      </w:pPr>
    </w:p>
    <w:p>
      <w:pPr>
        <w:jc w:val="both"/>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6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1" w:lineRule="exact"/>
        <w:rPr>
          <w:sz w:val="24"/>
          <w:szCs w:val="24"/>
          <w:color w:val="auto"/>
        </w:rPr>
      </w:pPr>
    </w:p>
    <w:p>
      <w:pPr>
        <w:spacing w:after="0" w:line="16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tabs>
          <w:tab w:leader="none" w:pos="6520" w:val="left"/>
          <w:tab w:leader="none" w:pos="70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0" w:lineRule="exact"/>
        <w:rPr>
          <w:sz w:val="24"/>
          <w:szCs w:val="24"/>
          <w:color w:val="auto"/>
        </w:rPr>
      </w:pPr>
    </w:p>
    <w:p>
      <w:pPr>
        <w:jc w:val="both"/>
        <w:spacing w:after="0" w:line="219" w:lineRule="auto"/>
        <w:rPr>
          <w:sz w:val="20"/>
          <w:szCs w:val="20"/>
          <w:color w:val="auto"/>
        </w:rPr>
      </w:pPr>
      <w:r>
        <w:rPr>
          <w:rFonts w:ascii="Arial" w:cs="Arial" w:eastAsia="Arial" w:hAnsi="Arial"/>
          <w:sz w:val="14"/>
          <w:szCs w:val="14"/>
          <w:color w:val="auto"/>
        </w:rPr>
        <w:t>The aggregate market value of the common units held by non-affiliates was approximately $443.2 million on June 30, 2021, the last business day of the registrant’s most recently completed second fiscal quarter, based on closing prices in the daily composite list for transactions on the Nasdaq Global Select Market on such date. As of February 18, 2022, 38,139,805 common units representing limited partner interests and 107,815,152 Class B units representing limited partner interests were outstanding.</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219075</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4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99"/>
              </w:rPr>
              <w:t>RATTLER MIDSTREAM LP</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7"/>
          </w:tcPr>
          <w:p>
            <w:pPr>
              <w:jc w:val="center"/>
              <w:ind w:right="4300"/>
              <w:spacing w:after="0"/>
              <w:rPr>
                <w:sz w:val="20"/>
                <w:szCs w:val="20"/>
                <w:color w:val="auto"/>
              </w:rPr>
            </w:pPr>
            <w:r>
              <w:rPr>
                <w:rFonts w:ascii="Arial" w:cs="Arial" w:eastAsia="Arial" w:hAnsi="Arial"/>
                <w:sz w:val="18"/>
                <w:szCs w:val="18"/>
                <w:b w:val="1"/>
                <w:bCs w:val="1"/>
                <w:color w:val="auto"/>
                <w:w w:val="98"/>
              </w:rPr>
              <w:t>FORM 10-K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4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6"/>
              </w:rPr>
              <w:t>FOR THE YEAR ENDED DECEMBER 31, 2021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60" w:type="dxa"/>
            <w:vAlign w:val="bottom"/>
            <w:gridSpan w:val="5"/>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85"/>
        </w:trPr>
        <w:tc>
          <w:tcPr>
            <w:tcW w:w="40" w:type="dxa"/>
            <w:vAlign w:val="bottom"/>
            <w:tcBorders>
              <w:right w:val="single" w:sz="8" w:color="CCEEFF"/>
            </w:tcBorders>
          </w:tcPr>
          <w:p>
            <w:pPr>
              <w:spacing w:after="0"/>
              <w:rPr>
                <w:sz w:val="16"/>
                <w:szCs w:val="16"/>
                <w:color w:val="auto"/>
              </w:rPr>
            </w:pPr>
          </w:p>
        </w:tc>
        <w:tc>
          <w:tcPr>
            <w:tcW w:w="10540" w:type="dxa"/>
            <w:vAlign w:val="bottom"/>
            <w:tcBorders>
              <w:top w:val="single" w:sz="8" w:color="CCEEFF"/>
            </w:tcBorders>
            <w:gridSpan w:val="22"/>
            <w:shd w:val="clear" w:color="auto" w:fill="CCEEFF"/>
          </w:tcPr>
          <w:p>
            <w:pPr>
              <w:spacing w:after="0" w:line="145" w:lineRule="exact"/>
              <w:rPr>
                <w:rFonts w:ascii="Arial" w:cs="Arial" w:eastAsia="Arial" w:hAnsi="Arial"/>
                <w:sz w:val="16"/>
                <w:szCs w:val="16"/>
                <w:color w:val="0000FF"/>
              </w:rPr>
            </w:pPr>
            <w:hyperlink w:anchor="page2">
              <w:r>
                <w:rPr>
                  <w:rFonts w:ascii="Arial" w:cs="Arial" w:eastAsia="Arial" w:hAnsi="Arial"/>
                  <w:sz w:val="16"/>
                  <w:szCs w:val="16"/>
                  <w:color w:val="0000FF"/>
                </w:rPr>
                <w:t>Glossary of Oil and Natural Gas Terms</w:t>
              </w:r>
            </w:hyperlink>
          </w:p>
        </w:tc>
        <w:tc>
          <w:tcPr>
            <w:tcW w:w="280" w:type="dxa"/>
            <w:vAlign w:val="bottom"/>
            <w:tcBorders>
              <w:top w:val="single" w:sz="8" w:color="auto"/>
              <w:right w:val="single" w:sz="8" w:color="CCEEFF"/>
            </w:tcBorders>
            <w:shd w:val="clear" w:color="auto" w:fill="CCEEFF"/>
          </w:tcPr>
          <w:p>
            <w:pPr>
              <w:spacing w:after="0"/>
              <w:rPr>
                <w:sz w:val="16"/>
                <w:szCs w:val="16"/>
                <w:color w:val="auto"/>
              </w:rPr>
            </w:pPr>
          </w:p>
        </w:tc>
        <w:tc>
          <w:tcPr>
            <w:tcW w:w="360" w:type="dxa"/>
            <w:vAlign w:val="bottom"/>
            <w:tcBorders>
              <w:top w:val="single" w:sz="8" w:color="auto"/>
            </w:tcBorders>
            <w:gridSpan w:val="3"/>
            <w:shd w:val="clear" w:color="auto" w:fill="CCEEFF"/>
          </w:tcPr>
          <w:p>
            <w:pPr>
              <w:jc w:val="center"/>
              <w:ind w:right="280"/>
              <w:spacing w:after="0" w:line="152" w:lineRule="exact"/>
              <w:rPr>
                <w:rFonts w:ascii="Arial" w:cs="Arial" w:eastAsia="Arial" w:hAnsi="Arial"/>
                <w:sz w:val="16"/>
                <w:szCs w:val="16"/>
                <w:color w:val="0000FF"/>
              </w:rPr>
            </w:pPr>
            <w:hyperlink w:anchor="page2">
              <w:r>
                <w:rPr>
                  <w:rFonts w:ascii="Arial" w:cs="Arial" w:eastAsia="Arial" w:hAnsi="Arial"/>
                  <w:sz w:val="16"/>
                  <w:szCs w:val="16"/>
                  <w:color w:val="0000FF"/>
                </w:rPr>
                <w:t>ii</w:t>
              </w:r>
            </w:hyperlink>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0540" w:type="dxa"/>
            <w:vAlign w:val="bottom"/>
            <w:gridSpan w:val="22"/>
          </w:tcPr>
          <w:p>
            <w:pPr>
              <w:spacing w:after="0" w:line="177" w:lineRule="exact"/>
              <w:rPr>
                <w:rFonts w:ascii="Arial" w:cs="Arial" w:eastAsia="Arial" w:hAnsi="Arial"/>
                <w:sz w:val="18"/>
                <w:szCs w:val="18"/>
                <w:color w:val="0000FF"/>
              </w:rPr>
            </w:pPr>
            <w:hyperlink w:anchor="page4">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4"/>
          </w:tcPr>
          <w:p>
            <w:pPr>
              <w:jc w:val="center"/>
              <w:ind w:right="260"/>
              <w:spacing w:after="0" w:line="177"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iii</w:t>
              </w:r>
            </w:hyperlink>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40" w:type="dxa"/>
            <w:vAlign w:val="bottom"/>
            <w:tcBorders>
              <w:right w:val="single" w:sz="8" w:color="CCEEFF"/>
            </w:tcBorders>
          </w:tcPr>
          <w:p>
            <w:pPr>
              <w:spacing w:after="0"/>
              <w:rPr>
                <w:sz w:val="18"/>
                <w:szCs w:val="18"/>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center"/>
              <w:ind w:right="260"/>
              <w:spacing w:after="0" w:line="195" w:lineRule="exact"/>
              <w:rPr>
                <w:rFonts w:ascii="Arial" w:cs="Arial" w:eastAsia="Arial" w:hAnsi="Arial"/>
                <w:sz w:val="18"/>
                <w:szCs w:val="18"/>
                <w:color w:val="0000FF"/>
                <w:w w:val="76"/>
              </w:rPr>
            </w:pPr>
            <w:hyperlink w:anchor="page4">
              <w:r>
                <w:rPr>
                  <w:rFonts w:ascii="Arial" w:cs="Arial" w:eastAsia="Arial" w:hAnsi="Arial"/>
                  <w:sz w:val="18"/>
                  <w:szCs w:val="18"/>
                  <w:color w:val="0000FF"/>
                  <w:w w:val="76"/>
                </w:rPr>
                <w:t>iv</w:t>
              </w:r>
            </w:hyperlink>
          </w:p>
        </w:tc>
        <w:tc>
          <w:tcPr>
            <w:tcW w:w="20" w:type="dxa"/>
            <w:vAlign w:val="bottom"/>
          </w:tcPr>
          <w:p>
            <w:pPr>
              <w:spacing w:after="0"/>
              <w:rPr>
                <w:sz w:val="18"/>
                <w:szCs w:val="18"/>
                <w:color w:val="auto"/>
              </w:rPr>
            </w:pPr>
          </w:p>
        </w:tc>
      </w:tr>
      <w:tr>
        <w:trPr>
          <w:trHeight w:val="263"/>
        </w:trPr>
        <w:tc>
          <w:tcPr>
            <w:tcW w:w="4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2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04"/>
        </w:trPr>
        <w:tc>
          <w:tcPr>
            <w:tcW w:w="40" w:type="dxa"/>
            <w:vAlign w:val="bottom"/>
            <w:tcBorders>
              <w:right w:val="single" w:sz="8" w:color="CCEEFF"/>
            </w:tcBorders>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40" w:type="dxa"/>
            <w:vAlign w:val="bottom"/>
            <w:gridSpan w:val="5"/>
            <w:shd w:val="clear" w:color="auto" w:fill="CCEEFF"/>
          </w:tcPr>
          <w:p>
            <w:pPr>
              <w:jc w:val="center"/>
              <w:ind w:right="4680"/>
              <w:spacing w:after="0" w:line="184" w:lineRule="exact"/>
              <w:rPr>
                <w:rFonts w:ascii="Arial" w:cs="Arial" w:eastAsia="Arial" w:hAnsi="Arial"/>
                <w:sz w:val="18"/>
                <w:szCs w:val="18"/>
                <w:b w:val="1"/>
                <w:bCs w:val="1"/>
                <w:color w:val="0000FF"/>
                <w:w w:val="94"/>
              </w:rPr>
            </w:pPr>
            <w:hyperlink w:anchor="page6">
              <w:r>
                <w:rPr>
                  <w:rFonts w:ascii="Arial" w:cs="Arial" w:eastAsia="Arial" w:hAnsi="Arial"/>
                  <w:sz w:val="18"/>
                  <w:szCs w:val="18"/>
                  <w:b w:val="1"/>
                  <w:bCs w:val="1"/>
                  <w:color w:val="0000FF"/>
                  <w:w w:val="94"/>
                </w:rPr>
                <w:t>PART I</w:t>
              </w:r>
            </w:hyperlink>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0" w:type="dxa"/>
            <w:vAlign w:val="bottom"/>
          </w:tcPr>
          <w:p>
            <w:pPr>
              <w:spacing w:after="0"/>
              <w:rPr>
                <w:sz w:val="16"/>
                <w:szCs w:val="16"/>
                <w:color w:val="auto"/>
              </w:rPr>
            </w:pPr>
          </w:p>
        </w:tc>
        <w:tc>
          <w:tcPr>
            <w:tcW w:w="5300" w:type="dxa"/>
            <w:vAlign w:val="bottom"/>
            <w:tcBorders>
              <w:top w:val="single" w:sz="8" w:color="CCEEFF"/>
            </w:tcBorders>
            <w:gridSpan w:val="17"/>
          </w:tcPr>
          <w:p>
            <w:pPr>
              <w:spacing w:after="0" w:line="184" w:lineRule="exact"/>
              <w:rPr>
                <w:rFonts w:ascii="Arial" w:cs="Arial" w:eastAsia="Arial" w:hAnsi="Arial"/>
                <w:sz w:val="18"/>
                <w:szCs w:val="18"/>
                <w:color w:val="0000FF"/>
              </w:rPr>
            </w:pPr>
            <w:hyperlink w:anchor="page7">
              <w:r>
                <w:rPr>
                  <w:rFonts w:ascii="Arial" w:cs="Arial" w:eastAsia="Arial" w:hAnsi="Arial"/>
                  <w:sz w:val="18"/>
                  <w:szCs w:val="18"/>
                  <w:color w:val="0000FF"/>
                </w:rPr>
                <w:t>Items 1 and 2. Business and Properties</w:t>
              </w:r>
            </w:hyperlink>
          </w:p>
        </w:tc>
        <w:tc>
          <w:tcPr>
            <w:tcW w:w="600" w:type="dxa"/>
            <w:vAlign w:val="bottom"/>
            <w:tcBorders>
              <w:top w:val="single" w:sz="8" w:color="0000FF"/>
            </w:tcBorders>
          </w:tcPr>
          <w:p>
            <w:pPr>
              <w:spacing w:after="0"/>
              <w:rPr>
                <w:sz w:val="16"/>
                <w:szCs w:val="16"/>
                <w:color w:val="auto"/>
              </w:rPr>
            </w:pPr>
          </w:p>
        </w:tc>
        <w:tc>
          <w:tcPr>
            <w:tcW w:w="4640" w:type="dxa"/>
            <w:vAlign w:val="bottom"/>
            <w:tcBorders>
              <w:top w:val="single" w:sz="8" w:color="CCEEFF"/>
            </w:tcBorders>
            <w:gridSpan w:val="4"/>
          </w:tcPr>
          <w:p>
            <w:pPr>
              <w:spacing w:after="0"/>
              <w:rPr>
                <w:sz w:val="16"/>
                <w:szCs w:val="16"/>
                <w:color w:val="auto"/>
              </w:rPr>
            </w:pPr>
          </w:p>
        </w:tc>
        <w:tc>
          <w:tcPr>
            <w:tcW w:w="360" w:type="dxa"/>
            <w:vAlign w:val="bottom"/>
            <w:tcBorders>
              <w:top w:val="single" w:sz="8" w:color="CCEEFF"/>
            </w:tcBorders>
            <w:gridSpan w:val="2"/>
          </w:tcPr>
          <w:p>
            <w:pPr>
              <w:jc w:val="center"/>
              <w:ind w:left="192"/>
              <w:spacing w:after="0" w:line="184"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2"/>
        </w:trPr>
        <w:tc>
          <w:tcPr>
            <w:tcW w:w="40" w:type="dxa"/>
            <w:vAlign w:val="bottom"/>
            <w:tcBorders>
              <w:right w:val="single" w:sz="8" w:color="CCEEFF"/>
            </w:tcBorders>
          </w:tcPr>
          <w:p>
            <w:pPr>
              <w:spacing w:after="0"/>
              <w:rPr>
                <w:sz w:val="19"/>
                <w:szCs w:val="19"/>
                <w:color w:val="auto"/>
              </w:rPr>
            </w:pPr>
          </w:p>
        </w:tc>
        <w:tc>
          <w:tcPr>
            <w:tcW w:w="1540" w:type="dxa"/>
            <w:vAlign w:val="bottom"/>
            <w:tcBorders>
              <w:bottom w:val="single" w:sz="8" w:color="0000FF"/>
            </w:tcBorders>
            <w:gridSpan w:val="2"/>
            <w:shd w:val="clear" w:color="auto" w:fill="CCEEFF"/>
          </w:tcPr>
          <w:p>
            <w:pPr>
              <w:spacing w:after="0" w:line="188" w:lineRule="exact"/>
              <w:rPr>
                <w:rFonts w:ascii="Arial" w:cs="Arial" w:eastAsia="Arial" w:hAnsi="Arial"/>
                <w:sz w:val="18"/>
                <w:szCs w:val="18"/>
                <w:color w:val="0000FF"/>
                <w:w w:val="88"/>
              </w:rPr>
            </w:pPr>
            <w:hyperlink w:anchor="page20">
              <w:r>
                <w:rPr>
                  <w:rFonts w:ascii="Arial" w:cs="Arial" w:eastAsia="Arial" w:hAnsi="Arial"/>
                  <w:sz w:val="18"/>
                  <w:szCs w:val="18"/>
                  <w:color w:val="0000FF"/>
                  <w:w w:val="88"/>
                </w:rPr>
                <w:t>Item 1A. Risk Factors</w:t>
              </w:r>
            </w:hyperlink>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left w:val="single" w:sz="8" w:color="CCEEFF"/>
              <w:bottom w:val="single" w:sz="8" w:color="CCEEFF"/>
            </w:tcBorders>
            <w:gridSpan w:val="2"/>
            <w:shd w:val="clear" w:color="auto" w:fill="CCEEFF"/>
          </w:tcPr>
          <w:p>
            <w:pPr>
              <w:spacing w:after="0"/>
              <w:rPr>
                <w:sz w:val="19"/>
                <w:szCs w:val="19"/>
                <w:color w:val="auto"/>
              </w:rPr>
            </w:pP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760" w:type="dxa"/>
            <w:vAlign w:val="bottom"/>
            <w:tcBorders>
              <w:left w:val="single" w:sz="8" w:color="CCEEFF"/>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spacing w:after="0"/>
              <w:rPr>
                <w:sz w:val="19"/>
                <w:szCs w:val="19"/>
                <w:color w:val="auto"/>
              </w:rPr>
            </w:pPr>
          </w:p>
        </w:tc>
        <w:tc>
          <w:tcPr>
            <w:tcW w:w="9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3"/>
            <w:shd w:val="clear" w:color="auto" w:fill="CCEEFF"/>
          </w:tcPr>
          <w:p>
            <w:pPr>
              <w:jc w:val="center"/>
              <w:ind w:left="152"/>
              <w:spacing w:after="0" w:line="201"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15</w:t>
              </w:r>
            </w:hyperlink>
          </w:p>
        </w:tc>
        <w:tc>
          <w:tcPr>
            <w:tcW w:w="240" w:type="dxa"/>
            <w:vAlign w:val="bottom"/>
            <w:tcBorders>
              <w:left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6"/>
        </w:trPr>
        <w:tc>
          <w:tcPr>
            <w:tcW w:w="40" w:type="dxa"/>
            <w:vAlign w:val="bottom"/>
            <w:tcBorders>
              <w:right w:val="single" w:sz="8" w:color="CCEEFF"/>
            </w:tcBorders>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96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0000FF"/>
          </w:tcPr>
          <w:p>
            <w:pPr>
              <w:spacing w:after="0"/>
              <w:rPr>
                <w:sz w:val="2"/>
                <w:szCs w:val="2"/>
                <w:color w:val="auto"/>
              </w:rPr>
            </w:pPr>
          </w:p>
        </w:tc>
        <w:tc>
          <w:tcPr>
            <w:tcW w:w="40" w:type="dxa"/>
            <w:vAlign w:val="bottom"/>
            <w:tcBorders>
              <w:top w:val="single" w:sz="8" w:color="CCEEFF"/>
              <w:right w:val="single" w:sz="8" w:color="0000FF"/>
            </w:tcBorders>
            <w:shd w:val="clear" w:color="auto" w:fill="0000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1B. Unresolved Staff Comments</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29</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35">
              <w:r>
                <w:rPr>
                  <w:rFonts w:ascii="Arial" w:cs="Arial" w:eastAsia="Arial" w:hAnsi="Arial"/>
                  <w:sz w:val="18"/>
                  <w:szCs w:val="18"/>
                  <w:color w:val="0000FF"/>
                </w:rPr>
                <w:t>Item 3. Legal Proceedings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29</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960" w:type="dxa"/>
            <w:vAlign w:val="bottom"/>
            <w:tcBorders>
              <w:left w:val="single" w:sz="8" w:color="CCEEFF"/>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Item 4. Mine Safety Disclosures</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29</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3"/>
        </w:trPr>
        <w:tc>
          <w:tcPr>
            <w:tcW w:w="40" w:type="dxa"/>
            <w:vAlign w:val="bottom"/>
            <w:tcBorders>
              <w:right w:val="single" w:sz="8" w:color="CCEEFF"/>
            </w:tcBorders>
          </w:tcPr>
          <w:p>
            <w:pPr>
              <w:spacing w:after="0"/>
              <w:rPr>
                <w:sz w:val="23"/>
                <w:szCs w:val="23"/>
                <w:color w:val="auto"/>
              </w:rPr>
            </w:pPr>
          </w:p>
        </w:tc>
        <w:tc>
          <w:tcPr>
            <w:tcW w:w="740" w:type="dxa"/>
            <w:vAlign w:val="bottom"/>
            <w:tcBorders>
              <w:top w:val="single" w:sz="8" w:color="0000FF"/>
            </w:tcBorders>
            <w:shd w:val="clear" w:color="auto" w:fill="CCEEFF"/>
          </w:tcPr>
          <w:p>
            <w:pPr>
              <w:spacing w:after="0"/>
              <w:rPr>
                <w:sz w:val="23"/>
                <w:szCs w:val="23"/>
                <w:color w:val="auto"/>
              </w:rPr>
            </w:pPr>
          </w:p>
        </w:tc>
        <w:tc>
          <w:tcPr>
            <w:tcW w:w="800" w:type="dxa"/>
            <w:vAlign w:val="bottom"/>
            <w:tcBorders>
              <w:top w:val="single" w:sz="8" w:color="0000FF"/>
            </w:tcBorders>
            <w:shd w:val="clear" w:color="auto" w:fill="CCEEFF"/>
          </w:tcPr>
          <w:p>
            <w:pPr>
              <w:spacing w:after="0"/>
              <w:rPr>
                <w:sz w:val="23"/>
                <w:szCs w:val="23"/>
                <w:color w:val="auto"/>
              </w:rPr>
            </w:pPr>
          </w:p>
        </w:tc>
        <w:tc>
          <w:tcPr>
            <w:tcW w:w="30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260" w:type="dxa"/>
            <w:vAlign w:val="bottom"/>
            <w:tcBorders>
              <w:top w:val="single" w:sz="8" w:color="0000FF"/>
              <w:right w:val="single" w:sz="8" w:color="CCEEFF"/>
            </w:tcBorders>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left w:val="single" w:sz="8" w:color="CCEEFF"/>
            </w:tcBorders>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960" w:type="dxa"/>
            <w:vAlign w:val="bottom"/>
            <w:tcBorders>
              <w:left w:val="single" w:sz="8" w:color="CCEEFF"/>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40" w:type="dxa"/>
            <w:vAlign w:val="bottom"/>
            <w:tcBorders>
              <w:top w:val="single" w:sz="8" w:color="0000FF"/>
              <w:right w:val="single" w:sz="8" w:color="CCEEFF"/>
            </w:tcBorders>
            <w:shd w:val="clear" w:color="auto" w:fill="CCEEFF"/>
          </w:tcPr>
          <w:p>
            <w:pPr>
              <w:spacing w:after="0"/>
              <w:rPr>
                <w:sz w:val="23"/>
                <w:szCs w:val="23"/>
                <w:color w:val="auto"/>
              </w:rPr>
            </w:pPr>
          </w:p>
        </w:tc>
        <w:tc>
          <w:tcPr>
            <w:tcW w:w="240" w:type="dxa"/>
            <w:vAlign w:val="bottom"/>
            <w:tcBorders>
              <w:left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18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5"/>
          </w:tcPr>
          <w:p>
            <w:pPr>
              <w:jc w:val="center"/>
              <w:ind w:right="4640"/>
              <w:spacing w:after="0" w:line="184" w:lineRule="exact"/>
              <w:rPr>
                <w:rFonts w:ascii="Arial" w:cs="Arial" w:eastAsia="Arial" w:hAnsi="Arial"/>
                <w:sz w:val="18"/>
                <w:szCs w:val="18"/>
                <w:b w:val="1"/>
                <w:bCs w:val="1"/>
                <w:color w:val="0000FF"/>
                <w:w w:val="93"/>
              </w:rPr>
            </w:pPr>
            <w:hyperlink w:anchor="page35">
              <w:r>
                <w:rPr>
                  <w:rFonts w:ascii="Arial" w:cs="Arial" w:eastAsia="Arial" w:hAnsi="Arial"/>
                  <w:sz w:val="18"/>
                  <w:szCs w:val="18"/>
                  <w:b w:val="1"/>
                  <w:bCs w:val="1"/>
                  <w:color w:val="0000FF"/>
                  <w:w w:val="93"/>
                </w:rPr>
                <w:t>PART II</w:t>
              </w:r>
            </w:hyperlink>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36">
              <w:r>
                <w:rPr>
                  <w:rFonts w:ascii="Arial" w:cs="Arial" w:eastAsia="Arial" w:hAnsi="Arial"/>
                  <w:sz w:val="18"/>
                  <w:szCs w:val="18"/>
                  <w:color w:val="0000FF"/>
                </w:rPr>
                <w:t>Item 5. Market for Registrant's Common Equity, Related Unitholder Matters and Issuer Purchases of Equity Securities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30</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960" w:type="dxa"/>
            <w:vAlign w:val="bottom"/>
            <w:tcBorders>
              <w:left w:val="single" w:sz="8" w:color="0000FF"/>
              <w:righ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Item 6. Selected Financial Data</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30</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36">
              <w:r>
                <w:rPr>
                  <w:rFonts w:ascii="Arial" w:cs="Arial" w:eastAsia="Arial" w:hAnsi="Arial"/>
                  <w:sz w:val="18"/>
                  <w:szCs w:val="18"/>
                  <w:color w:val="0000FF"/>
                </w:rPr>
                <w:t>Item 7. Management's Discussion and Analysis of Financial Condition and Results of Operations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30</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960" w:type="dxa"/>
            <w:vAlign w:val="bottom"/>
            <w:tcBorders>
              <w:left w:val="single" w:sz="8" w:color="0000FF"/>
              <w:right w:val="single" w:sz="8" w:color="CCEEFF"/>
            </w:tcBorders>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46">
              <w:r>
                <w:rPr>
                  <w:rFonts w:ascii="Arial" w:cs="Arial" w:eastAsia="Arial" w:hAnsi="Arial"/>
                  <w:sz w:val="18"/>
                  <w:szCs w:val="18"/>
                  <w:color w:val="0000FF"/>
                </w:rPr>
                <w:t>Item 7A. Quantitative and Qualitative Disclosures About Market Risk</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40</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47">
              <w:r>
                <w:rPr>
                  <w:rFonts w:ascii="Arial" w:cs="Arial" w:eastAsia="Arial" w:hAnsi="Arial"/>
                  <w:sz w:val="18"/>
                  <w:szCs w:val="18"/>
                  <w:color w:val="0000FF"/>
                </w:rPr>
                <w:t>Item 8. Financial Statements and Supplementary Data</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41</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960" w:type="dxa"/>
            <w:vAlign w:val="bottom"/>
            <w:tcBorders>
              <w:left w:val="single" w:sz="8" w:color="CCEEFF"/>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47">
              <w:r>
                <w:rPr>
                  <w:rFonts w:ascii="Arial" w:cs="Arial" w:eastAsia="Arial" w:hAnsi="Arial"/>
                  <w:sz w:val="18"/>
                  <w:szCs w:val="18"/>
                  <w:color w:val="0000FF"/>
                </w:rPr>
                <w:t>Item 9. Changes in and Disagreements with Accountants on Accounting and Financial Disclosure</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41</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960" w:type="dxa"/>
            <w:vAlign w:val="bottom"/>
            <w:tcBorders>
              <w:left w:val="single" w:sz="8" w:color="0000FF"/>
              <w:righ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47">
              <w:r>
                <w:rPr>
                  <w:rFonts w:ascii="Arial" w:cs="Arial" w:eastAsia="Arial" w:hAnsi="Arial"/>
                  <w:sz w:val="18"/>
                  <w:szCs w:val="18"/>
                  <w:color w:val="0000FF"/>
                </w:rPr>
                <w:t>Item 9A. Controls and Procedures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41</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960" w:type="dxa"/>
            <w:vAlign w:val="bottom"/>
            <w:tcBorders>
              <w:left w:val="single" w:sz="8" w:color="CCEEFF"/>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48">
              <w:r>
                <w:rPr>
                  <w:rFonts w:ascii="Arial" w:cs="Arial" w:eastAsia="Arial" w:hAnsi="Arial"/>
                  <w:sz w:val="18"/>
                  <w:szCs w:val="18"/>
                  <w:color w:val="0000FF"/>
                </w:rPr>
                <w:t>Item 9B. Other Information</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42</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3"/>
        </w:trPr>
        <w:tc>
          <w:tcPr>
            <w:tcW w:w="40" w:type="dxa"/>
            <w:vAlign w:val="bottom"/>
            <w:tcBorders>
              <w:right w:val="single" w:sz="8" w:color="CCEEFF"/>
            </w:tcBorders>
          </w:tcPr>
          <w:p>
            <w:pPr>
              <w:spacing w:after="0"/>
              <w:rPr>
                <w:sz w:val="23"/>
                <w:szCs w:val="23"/>
                <w:color w:val="auto"/>
              </w:rPr>
            </w:pPr>
          </w:p>
        </w:tc>
        <w:tc>
          <w:tcPr>
            <w:tcW w:w="740" w:type="dxa"/>
            <w:vAlign w:val="bottom"/>
            <w:tcBorders>
              <w:top w:val="single" w:sz="8" w:color="0000FF"/>
            </w:tcBorders>
            <w:shd w:val="clear" w:color="auto" w:fill="CCEEFF"/>
          </w:tcPr>
          <w:p>
            <w:pPr>
              <w:spacing w:after="0"/>
              <w:rPr>
                <w:sz w:val="23"/>
                <w:szCs w:val="23"/>
                <w:color w:val="auto"/>
              </w:rPr>
            </w:pPr>
          </w:p>
        </w:tc>
        <w:tc>
          <w:tcPr>
            <w:tcW w:w="800" w:type="dxa"/>
            <w:vAlign w:val="bottom"/>
            <w:tcBorders>
              <w:top w:val="single" w:sz="8" w:color="0000FF"/>
            </w:tcBorders>
            <w:shd w:val="clear" w:color="auto" w:fill="CCEEFF"/>
          </w:tcPr>
          <w:p>
            <w:pPr>
              <w:spacing w:after="0"/>
              <w:rPr>
                <w:sz w:val="23"/>
                <w:szCs w:val="23"/>
                <w:color w:val="auto"/>
              </w:rPr>
            </w:pPr>
          </w:p>
        </w:tc>
        <w:tc>
          <w:tcPr>
            <w:tcW w:w="30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left w:val="single" w:sz="8" w:color="CCEEFF"/>
            </w:tcBorders>
            <w:shd w:val="clear" w:color="auto" w:fill="CCEEFF"/>
          </w:tcPr>
          <w:p>
            <w:pPr>
              <w:spacing w:after="0"/>
              <w:rPr>
                <w:sz w:val="23"/>
                <w:szCs w:val="23"/>
                <w:color w:val="auto"/>
              </w:rPr>
            </w:pPr>
          </w:p>
        </w:tc>
        <w:tc>
          <w:tcPr>
            <w:tcW w:w="8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960" w:type="dxa"/>
            <w:vAlign w:val="bottom"/>
            <w:tcBorders>
              <w:left w:val="single" w:sz="8" w:color="CCEEFF"/>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40" w:type="dxa"/>
            <w:vAlign w:val="bottom"/>
            <w:tcBorders>
              <w:top w:val="single" w:sz="8" w:color="0000FF"/>
              <w:right w:val="single" w:sz="8" w:color="CCEEFF"/>
            </w:tcBorders>
            <w:shd w:val="clear" w:color="auto" w:fill="CCEEFF"/>
          </w:tcPr>
          <w:p>
            <w:pPr>
              <w:spacing w:after="0"/>
              <w:rPr>
                <w:sz w:val="23"/>
                <w:szCs w:val="23"/>
                <w:color w:val="auto"/>
              </w:rPr>
            </w:pPr>
          </w:p>
        </w:tc>
        <w:tc>
          <w:tcPr>
            <w:tcW w:w="240" w:type="dxa"/>
            <w:vAlign w:val="bottom"/>
            <w:tcBorders>
              <w:left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bottom w:val="single" w:sz="8" w:color="0000FF"/>
            </w:tcBorders>
            <w:gridSpan w:val="2"/>
          </w:tcPr>
          <w:p>
            <w:pPr>
              <w:jc w:val="center"/>
              <w:spacing w:after="0" w:line="184" w:lineRule="exact"/>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III</w:t>
              </w:r>
            </w:hyperlink>
          </w:p>
        </w:tc>
        <w:tc>
          <w:tcPr>
            <w:tcW w:w="4640" w:type="dxa"/>
            <w:vAlign w:val="bottom"/>
            <w:gridSpan w:val="4"/>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49">
              <w:r>
                <w:rPr>
                  <w:rFonts w:ascii="Arial" w:cs="Arial" w:eastAsia="Arial" w:hAnsi="Arial"/>
                  <w:sz w:val="18"/>
                  <w:szCs w:val="18"/>
                  <w:color w:val="0000FF"/>
                </w:rPr>
                <w:t>Item 10. Directors, Executive Officers and Corporate Governance</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43</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960" w:type="dxa"/>
            <w:vAlign w:val="bottom"/>
            <w:tcBorders>
              <w:left w:val="single" w:sz="8" w:color="CCEEFF"/>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53">
              <w:r>
                <w:rPr>
                  <w:rFonts w:ascii="Arial" w:cs="Arial" w:eastAsia="Arial" w:hAnsi="Arial"/>
                  <w:sz w:val="18"/>
                  <w:szCs w:val="18"/>
                  <w:color w:val="0000FF"/>
                </w:rPr>
                <w:t>Item 11. Executive Compensation</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53">
              <w:r>
                <w:rPr>
                  <w:rFonts w:ascii="Arial" w:cs="Arial" w:eastAsia="Arial" w:hAnsi="Arial"/>
                  <w:sz w:val="18"/>
                  <w:szCs w:val="18"/>
                  <w:color w:val="0000FF"/>
                  <w:w w:val="79"/>
                </w:rPr>
                <w:t>47</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Item 12. Security Ownership of Certain Beneficial Owners and Management and Related Unitholder Matters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51</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600" w:type="dxa"/>
            <w:vAlign w:val="bottom"/>
            <w:tcBorders>
              <w:right w:val="single" w:sz="8" w:color="0000FF"/>
            </w:tcBorders>
            <w:shd w:val="clear" w:color="auto" w:fill="0000FF"/>
          </w:tcPr>
          <w:p>
            <w:pPr>
              <w:spacing w:after="0"/>
              <w:rPr>
                <w:sz w:val="3"/>
                <w:szCs w:val="3"/>
                <w:color w:val="auto"/>
              </w:rPr>
            </w:pPr>
          </w:p>
        </w:tc>
        <w:tc>
          <w:tcPr>
            <w:tcW w:w="960" w:type="dxa"/>
            <w:vAlign w:val="bottom"/>
            <w:tcBorders>
              <w:left w:val="single" w:sz="8" w:color="0000FF"/>
              <w:righ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61">
              <w:r>
                <w:rPr>
                  <w:rFonts w:ascii="Arial" w:cs="Arial" w:eastAsia="Arial" w:hAnsi="Arial"/>
                  <w:sz w:val="18"/>
                  <w:szCs w:val="18"/>
                  <w:color w:val="0000FF"/>
                </w:rPr>
                <w:t>Item 13. Certain Relationships and Related Transactions, and Director Independence</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61">
              <w:r>
                <w:rPr>
                  <w:rFonts w:ascii="Arial" w:cs="Arial" w:eastAsia="Arial" w:hAnsi="Arial"/>
                  <w:sz w:val="18"/>
                  <w:szCs w:val="18"/>
                  <w:color w:val="0000FF"/>
                  <w:w w:val="79"/>
                </w:rPr>
                <w:t>55</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600" w:type="dxa"/>
            <w:vAlign w:val="bottom"/>
            <w:tcBorders>
              <w:right w:val="single" w:sz="8" w:color="0000FF"/>
            </w:tcBorders>
            <w:shd w:val="clear" w:color="auto" w:fill="0000FF"/>
          </w:tcPr>
          <w:p>
            <w:pPr>
              <w:spacing w:after="0"/>
              <w:rPr>
                <w:sz w:val="2"/>
                <w:szCs w:val="2"/>
                <w:color w:val="auto"/>
              </w:rPr>
            </w:pPr>
          </w:p>
        </w:tc>
        <w:tc>
          <w:tcPr>
            <w:tcW w:w="960" w:type="dxa"/>
            <w:vAlign w:val="bottom"/>
            <w:tcBorders>
              <w:left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40" w:type="dxa"/>
            <w:vAlign w:val="bottom"/>
            <w:tcBorders>
              <w:right w:val="single" w:sz="8" w:color="CCEEFF"/>
            </w:tcBorders>
          </w:tcPr>
          <w:p>
            <w:pPr>
              <w:spacing w:after="0"/>
              <w:rPr>
                <w:sz w:val="18"/>
                <w:szCs w:val="18"/>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63">
              <w:r>
                <w:rPr>
                  <w:rFonts w:ascii="Arial" w:cs="Arial" w:eastAsia="Arial" w:hAnsi="Arial"/>
                  <w:sz w:val="18"/>
                  <w:szCs w:val="18"/>
                  <w:color w:val="0000FF"/>
                </w:rPr>
                <w:t>Item 14. Principal Accountant Fees and Services</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57</w:t>
              </w:r>
            </w:hyperlink>
          </w:p>
        </w:tc>
        <w:tc>
          <w:tcPr>
            <w:tcW w:w="24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3"/>
        </w:trPr>
        <w:tc>
          <w:tcPr>
            <w:tcW w:w="40" w:type="dxa"/>
            <w:vAlign w:val="bottom"/>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2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04"/>
        </w:trPr>
        <w:tc>
          <w:tcPr>
            <w:tcW w:w="40" w:type="dxa"/>
            <w:vAlign w:val="bottom"/>
            <w:tcBorders>
              <w:right w:val="single" w:sz="8" w:color="CCEEFF"/>
            </w:tcBorders>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FF"/>
              <w:right w:val="single" w:sz="8" w:color="CCEEFF"/>
            </w:tcBorders>
            <w:gridSpan w:val="2"/>
            <w:shd w:val="clear" w:color="auto" w:fill="CCEEFF"/>
          </w:tcPr>
          <w:p>
            <w:pPr>
              <w:jc w:val="center"/>
              <w:spacing w:after="0" w:line="184" w:lineRule="exact"/>
              <w:rPr>
                <w:rFonts w:ascii="Arial" w:cs="Arial" w:eastAsia="Arial" w:hAnsi="Arial"/>
                <w:sz w:val="18"/>
                <w:szCs w:val="18"/>
                <w:b w:val="1"/>
                <w:bCs w:val="1"/>
                <w:color w:val="0000FF"/>
                <w:w w:val="98"/>
              </w:rPr>
            </w:pPr>
            <w:hyperlink w:anchor="page64">
              <w:r>
                <w:rPr>
                  <w:rFonts w:ascii="Arial" w:cs="Arial" w:eastAsia="Arial" w:hAnsi="Arial"/>
                  <w:sz w:val="18"/>
                  <w:szCs w:val="18"/>
                  <w:b w:val="1"/>
                  <w:bCs w:val="1"/>
                  <w:color w:val="0000FF"/>
                  <w:w w:val="98"/>
                </w:rPr>
                <w:t>PART IV</w:t>
              </w:r>
            </w:hyperlink>
          </w:p>
        </w:tc>
        <w:tc>
          <w:tcPr>
            <w:tcW w:w="464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65">
              <w:r>
                <w:rPr>
                  <w:rFonts w:ascii="Arial" w:cs="Arial" w:eastAsia="Arial" w:hAnsi="Arial"/>
                  <w:sz w:val="18"/>
                  <w:szCs w:val="18"/>
                  <w:color w:val="0000FF"/>
                </w:rPr>
                <w:t>Item 15. Exhibits and Financial Statement Schedules</w:t>
              </w:r>
            </w:hyperlink>
          </w:p>
        </w:tc>
        <w:tc>
          <w:tcPr>
            <w:tcW w:w="400" w:type="dxa"/>
            <w:vAlign w:val="bottom"/>
            <w:gridSpan w:val="3"/>
          </w:tcPr>
          <w:p>
            <w:pPr>
              <w:jc w:val="center"/>
              <w:ind w:left="152"/>
              <w:spacing w:after="0" w:line="184" w:lineRule="exact"/>
              <w:rPr>
                <w:rFonts w:ascii="Arial" w:cs="Arial" w:eastAsia="Arial" w:hAnsi="Arial"/>
                <w:sz w:val="18"/>
                <w:szCs w:val="18"/>
                <w:color w:val="0000FF"/>
                <w:w w:val="79"/>
              </w:rPr>
            </w:pPr>
            <w:hyperlink w:anchor="page64">
              <w:r>
                <w:rPr>
                  <w:rFonts w:ascii="Arial" w:cs="Arial" w:eastAsia="Arial" w:hAnsi="Arial"/>
                  <w:sz w:val="18"/>
                  <w:szCs w:val="18"/>
                  <w:color w:val="0000FF"/>
                  <w:w w:val="79"/>
                </w:rPr>
                <w:t>59</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10540" w:type="dxa"/>
            <w:vAlign w:val="bottom"/>
            <w:gridSpan w:val="22"/>
            <w:shd w:val="clear" w:color="auto" w:fill="CCEEFF"/>
          </w:tcPr>
          <w:p>
            <w:pPr>
              <w:spacing w:after="0" w:line="195" w:lineRule="exact"/>
              <w:rPr>
                <w:rFonts w:ascii="Arial" w:cs="Arial" w:eastAsia="Arial" w:hAnsi="Arial"/>
                <w:sz w:val="18"/>
                <w:szCs w:val="18"/>
                <w:color w:val="0000FF"/>
              </w:rPr>
            </w:pPr>
            <w:hyperlink w:anchor="page67">
              <w:r>
                <w:rPr>
                  <w:rFonts w:ascii="Arial" w:cs="Arial" w:eastAsia="Arial" w:hAnsi="Arial"/>
                  <w:sz w:val="18"/>
                  <w:szCs w:val="18"/>
                  <w:color w:val="0000FF"/>
                </w:rPr>
                <w:t>Item 16. Form 10-K Summary</w:t>
              </w:r>
            </w:hyperlink>
          </w:p>
        </w:tc>
        <w:tc>
          <w:tcPr>
            <w:tcW w:w="400" w:type="dxa"/>
            <w:vAlign w:val="bottom"/>
            <w:tcBorders>
              <w:right w:val="single" w:sz="8" w:color="CCEEFF"/>
            </w:tcBorders>
            <w:gridSpan w:val="3"/>
            <w:shd w:val="clear" w:color="auto" w:fill="CCEEFF"/>
          </w:tcPr>
          <w:p>
            <w:pPr>
              <w:jc w:val="center"/>
              <w:ind w:left="152"/>
              <w:spacing w:after="0" w:line="195" w:lineRule="exact"/>
              <w:rPr>
                <w:rFonts w:ascii="Arial" w:cs="Arial" w:eastAsia="Arial" w:hAnsi="Arial"/>
                <w:sz w:val="18"/>
                <w:szCs w:val="18"/>
                <w:color w:val="0000FF"/>
                <w:w w:val="79"/>
              </w:rPr>
            </w:pPr>
            <w:hyperlink w:anchor="page67">
              <w:r>
                <w:rPr>
                  <w:rFonts w:ascii="Arial" w:cs="Arial" w:eastAsia="Arial" w:hAnsi="Arial"/>
                  <w:sz w:val="18"/>
                  <w:szCs w:val="18"/>
                  <w:color w:val="0000FF"/>
                  <w:w w:val="79"/>
                </w:rPr>
                <w:t>61</w:t>
              </w:r>
            </w:hyperlink>
          </w:p>
        </w:tc>
        <w:tc>
          <w:tcPr>
            <w:tcW w:w="240" w:type="dxa"/>
            <w:vAlign w:val="bottom"/>
            <w:tcBorders>
              <w:lef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600" w:type="dxa"/>
            <w:vAlign w:val="bottom"/>
            <w:tcBorders>
              <w:right w:val="single" w:sz="8" w:color="CCEEFF"/>
            </w:tcBorders>
            <w:shd w:val="clear" w:color="auto" w:fill="CCEEFF"/>
          </w:tcPr>
          <w:p>
            <w:pPr>
              <w:spacing w:after="0"/>
              <w:rPr>
                <w:sz w:val="3"/>
                <w:szCs w:val="3"/>
                <w:color w:val="auto"/>
              </w:rPr>
            </w:pPr>
          </w:p>
        </w:tc>
        <w:tc>
          <w:tcPr>
            <w:tcW w:w="960" w:type="dxa"/>
            <w:vAlign w:val="bottom"/>
            <w:tcBorders>
              <w:left w:val="single" w:sz="8" w:color="CCEEFF"/>
              <w:righ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2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540" w:type="dxa"/>
            <w:vAlign w:val="bottom"/>
            <w:gridSpan w:val="22"/>
          </w:tcPr>
          <w:p>
            <w:pPr>
              <w:spacing w:after="0" w:line="184" w:lineRule="exact"/>
              <w:rPr>
                <w:rFonts w:ascii="Arial" w:cs="Arial" w:eastAsia="Arial" w:hAnsi="Arial"/>
                <w:sz w:val="18"/>
                <w:szCs w:val="18"/>
                <w:color w:val="0000FF"/>
              </w:rPr>
            </w:pPr>
            <w:hyperlink w:anchor="page67">
              <w:r>
                <w:rPr>
                  <w:rFonts w:ascii="Arial" w:cs="Arial" w:eastAsia="Arial" w:hAnsi="Arial"/>
                  <w:sz w:val="18"/>
                  <w:szCs w:val="18"/>
                  <w:color w:val="0000FF"/>
                </w:rPr>
                <w:t>Signatures</w:t>
              </w:r>
            </w:hyperlink>
          </w:p>
        </w:tc>
        <w:tc>
          <w:tcPr>
            <w:tcW w:w="660" w:type="dxa"/>
            <w:vAlign w:val="bottom"/>
            <w:gridSpan w:val="5"/>
          </w:tcPr>
          <w:p>
            <w:pPr>
              <w:jc w:val="center"/>
              <w:ind w:right="20"/>
              <w:spacing w:after="0" w:line="184" w:lineRule="exact"/>
              <w:rPr>
                <w:rFonts w:ascii="Arial" w:cs="Arial" w:eastAsia="Arial" w:hAnsi="Arial"/>
                <w:sz w:val="18"/>
                <w:szCs w:val="18"/>
                <w:color w:val="0000FF"/>
                <w:w w:val="85"/>
              </w:rPr>
            </w:pPr>
            <w:r>
              <w:rPr>
                <w:rFonts w:ascii="Arial" w:cs="Arial" w:eastAsia="Arial" w:hAnsi="Arial"/>
                <w:sz w:val="18"/>
                <w:szCs w:val="18"/>
                <w:color w:val="0000FF"/>
                <w:w w:val="85"/>
              </w:rPr>
              <w:t>S-</w:t>
            </w:r>
            <w:hyperlink w:anchor="page67">
              <w:r>
                <w:rPr>
                  <w:rFonts w:ascii="Arial" w:cs="Arial" w:eastAsia="Arial" w:hAnsi="Arial"/>
                  <w:sz w:val="18"/>
                  <w:szCs w:val="18"/>
                  <w:color w:val="0000FF"/>
                  <w:w w:val="85"/>
                </w:rPr>
                <w:t>1</w:t>
              </w:r>
            </w:hyperlink>
          </w:p>
        </w:tc>
      </w:tr>
      <w:tr>
        <w:trPr>
          <w:trHeight w:val="1198"/>
        </w:trPr>
        <w:tc>
          <w:tcPr>
            <w:tcW w:w="4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81"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(this “Annual Report” or this “report”):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95"/>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9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330"/>
        </w:trPr>
        <w:tc>
          <w:tcPr>
            <w:tcW w:w="2300" w:type="dxa"/>
            <w:vAlign w:val="bottom"/>
          </w:tcPr>
          <w:p>
            <w:pPr>
              <w:ind w:left="20"/>
              <w:spacing w:after="0"/>
              <w:rPr>
                <w:sz w:val="20"/>
                <w:szCs w:val="20"/>
                <w:color w:val="auto"/>
              </w:rPr>
            </w:pPr>
            <w:r>
              <w:rPr>
                <w:rFonts w:ascii="Arial" w:cs="Arial" w:eastAsia="Arial" w:hAnsi="Arial"/>
                <w:sz w:val="18"/>
                <w:szCs w:val="18"/>
                <w:color w:val="auto"/>
              </w:rPr>
              <w:t>Bbl or barrel</w:t>
            </w:r>
          </w:p>
        </w:tc>
        <w:tc>
          <w:tcPr>
            <w:tcW w:w="8920" w:type="dxa"/>
            <w:vAlign w:val="bottom"/>
          </w:tcPr>
          <w:p>
            <w:pPr>
              <w:ind w:left="420"/>
              <w:spacing w:after="0"/>
              <w:rPr>
                <w:sz w:val="20"/>
                <w:szCs w:val="20"/>
                <w:color w:val="auto"/>
              </w:rPr>
            </w:pPr>
            <w:r>
              <w:rPr>
                <w:rFonts w:ascii="Arial" w:cs="Arial" w:eastAsia="Arial" w:hAnsi="Arial"/>
                <w:sz w:val="18"/>
                <w:szCs w:val="18"/>
                <w:color w:val="auto"/>
                <w:w w:val="89"/>
              </w:rPr>
              <w:t>One stock tank barrel, or 42 U.S. gallons liquid volume, used in reference to crude oil, natural gas liquids or other liquid</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24"/>
        </w:trPr>
        <w:tc>
          <w:tcPr>
            <w:tcW w:w="2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Bbl/d</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Bbl per day.</w:t>
            </w:r>
          </w:p>
        </w:tc>
        <w:tc>
          <w:tcPr>
            <w:tcW w:w="0" w:type="dxa"/>
            <w:vAlign w:val="bottom"/>
          </w:tcPr>
          <w:p>
            <w:pPr>
              <w:spacing w:after="0"/>
              <w:rPr>
                <w:sz w:val="1"/>
                <w:szCs w:val="1"/>
                <w:color w:val="auto"/>
              </w:rPr>
            </w:pPr>
          </w:p>
        </w:tc>
      </w:tr>
      <w:tr>
        <w:trPr>
          <w:trHeight w:val="159"/>
        </w:trPr>
        <w:tc>
          <w:tcPr>
            <w:tcW w:w="2300" w:type="dxa"/>
            <w:vAlign w:val="bottom"/>
            <w:vMerge w:val="continue"/>
            <w:shd w:val="clear" w:color="auto" w:fill="CCEEFF"/>
          </w:tcPr>
          <w:p>
            <w:pPr>
              <w:spacing w:after="0"/>
              <w:rPr>
                <w:sz w:val="13"/>
                <w:szCs w:val="13"/>
                <w:color w:val="auto"/>
              </w:rPr>
            </w:pPr>
          </w:p>
        </w:tc>
        <w:tc>
          <w:tcPr>
            <w:tcW w:w="8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920" w:type="dxa"/>
            <w:vAlign w:val="bottom"/>
          </w:tcPr>
          <w:p>
            <w:pPr>
              <w:ind w:left="42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Completion</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The process of treating a drilled well, followed by the installation of permanent equipment for the production of natural</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spacing w:after="0"/>
              <w:rPr>
                <w:sz w:val="19"/>
                <w:szCs w:val="19"/>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gas or oil or, in the case of a dry hole, the reporting of abandonment to the appropriate agency.</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920" w:type="dxa"/>
            <w:vAlign w:val="bottom"/>
          </w:tcPr>
          <w:p>
            <w:pPr>
              <w:ind w:left="420"/>
              <w:spacing w:after="0"/>
              <w:rPr>
                <w:sz w:val="20"/>
                <w:szCs w:val="20"/>
                <w:color w:val="auto"/>
              </w:rPr>
            </w:pPr>
            <w:r>
              <w:rPr>
                <w:rFonts w:ascii="Arial" w:cs="Arial" w:eastAsia="Arial" w:hAnsi="Arial"/>
                <w:sz w:val="18"/>
                <w:szCs w:val="18"/>
                <w:color w:val="auto"/>
              </w:rPr>
              <w:t>Liquid hydrocarbons associated with production that is primarily natural gas.</w:t>
            </w:r>
          </w:p>
        </w:tc>
        <w:tc>
          <w:tcPr>
            <w:tcW w:w="0" w:type="dxa"/>
            <w:vAlign w:val="bottom"/>
          </w:tcPr>
          <w:p>
            <w:pPr>
              <w:spacing w:after="0"/>
              <w:rPr>
                <w:sz w:val="1"/>
                <w:szCs w:val="1"/>
                <w:color w:val="auto"/>
              </w:rPr>
            </w:pPr>
          </w:p>
        </w:tc>
      </w:tr>
      <w:tr>
        <w:trPr>
          <w:trHeight w:val="382"/>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Liquid hydrocarbons found in the earth, which may be refined into fuel sources.</w:t>
            </w:r>
          </w:p>
        </w:tc>
        <w:tc>
          <w:tcPr>
            <w:tcW w:w="0" w:type="dxa"/>
            <w:vAlign w:val="bottom"/>
          </w:tcPr>
          <w:p>
            <w:pPr>
              <w:spacing w:after="0"/>
              <w:rPr>
                <w:sz w:val="1"/>
                <w:szCs w:val="1"/>
                <w:color w:val="auto"/>
              </w:rPr>
            </w:pPr>
          </w:p>
        </w:tc>
      </w:tr>
      <w:tr>
        <w:trPr>
          <w:trHeight w:val="330"/>
        </w:trPr>
        <w:tc>
          <w:tcPr>
            <w:tcW w:w="2300" w:type="dxa"/>
            <w:vAlign w:val="bottom"/>
          </w:tcPr>
          <w:p>
            <w:pPr>
              <w:ind w:left="20"/>
              <w:spacing w:after="0"/>
              <w:rPr>
                <w:sz w:val="20"/>
                <w:szCs w:val="20"/>
                <w:color w:val="auto"/>
              </w:rPr>
            </w:pPr>
            <w:r>
              <w:rPr>
                <w:rFonts w:ascii="Arial" w:cs="Arial" w:eastAsia="Arial" w:hAnsi="Arial"/>
                <w:sz w:val="18"/>
                <w:szCs w:val="18"/>
                <w:color w:val="auto"/>
              </w:rPr>
              <w:t>Dry hole</w:t>
            </w:r>
          </w:p>
        </w:tc>
        <w:tc>
          <w:tcPr>
            <w:tcW w:w="8920" w:type="dxa"/>
            <w:vAlign w:val="bottom"/>
          </w:tcPr>
          <w:p>
            <w:pPr>
              <w:ind w:left="420"/>
              <w:spacing w:after="0"/>
              <w:rPr>
                <w:sz w:val="20"/>
                <w:szCs w:val="20"/>
                <w:color w:val="auto"/>
              </w:rPr>
            </w:pPr>
            <w:r>
              <w:rPr>
                <w:rFonts w:ascii="Arial" w:cs="Arial" w:eastAsia="Arial" w:hAnsi="Arial"/>
                <w:sz w:val="18"/>
                <w:szCs w:val="18"/>
                <w:color w:val="auto"/>
                <w:w w:val="89"/>
              </w:rPr>
              <w:t>A well found to be incapable of producing hydrocarbons in sufficient quantities such that proceeds from the sale of such</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production exceed production expenses and taxes.</w:t>
            </w:r>
          </w:p>
        </w:tc>
        <w:tc>
          <w:tcPr>
            <w:tcW w:w="0" w:type="dxa"/>
            <w:vAlign w:val="bottom"/>
          </w:tcPr>
          <w:p>
            <w:pPr>
              <w:spacing w:after="0"/>
              <w:rPr>
                <w:sz w:val="1"/>
                <w:szCs w:val="1"/>
                <w:color w:val="auto"/>
              </w:rPr>
            </w:pPr>
          </w:p>
        </w:tc>
      </w:tr>
      <w:tr>
        <w:trPr>
          <w:trHeight w:val="172"/>
        </w:trPr>
        <w:tc>
          <w:tcPr>
            <w:tcW w:w="2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Field</w:t>
            </w:r>
          </w:p>
        </w:tc>
        <w:tc>
          <w:tcPr>
            <w:tcW w:w="8920" w:type="dxa"/>
            <w:vAlign w:val="bottom"/>
            <w:shd w:val="clear" w:color="auto" w:fill="CCEEFF"/>
          </w:tcPr>
          <w:p>
            <w:pPr>
              <w:ind w:left="420"/>
              <w:spacing w:after="0" w:line="172" w:lineRule="exact"/>
              <w:rPr>
                <w:sz w:val="20"/>
                <w:szCs w:val="20"/>
                <w:color w:val="auto"/>
              </w:rPr>
            </w:pPr>
            <w:r>
              <w:rPr>
                <w:rFonts w:ascii="Arial" w:cs="Arial" w:eastAsia="Arial" w:hAnsi="Arial"/>
                <w:sz w:val="18"/>
                <w:szCs w:val="18"/>
                <w:color w:val="auto"/>
                <w:w w:val="89"/>
              </w:rPr>
              <w:t>The general area encompassed by one or more crude oil or natural gas reservoirs or pools that are located on a single</w:t>
            </w:r>
          </w:p>
        </w:tc>
        <w:tc>
          <w:tcPr>
            <w:tcW w:w="0" w:type="dxa"/>
            <w:vAlign w:val="bottom"/>
          </w:tcPr>
          <w:p>
            <w:pPr>
              <w:spacing w:after="0"/>
              <w:rPr>
                <w:sz w:val="1"/>
                <w:szCs w:val="1"/>
                <w:color w:val="auto"/>
              </w:rPr>
            </w:pPr>
          </w:p>
        </w:tc>
      </w:tr>
      <w:tr>
        <w:trPr>
          <w:trHeight w:val="223"/>
        </w:trPr>
        <w:tc>
          <w:tcPr>
            <w:tcW w:w="2300" w:type="dxa"/>
            <w:vAlign w:val="bottom"/>
            <w:vMerge w:val="continue"/>
            <w:shd w:val="clear" w:color="auto" w:fill="CCEEFF"/>
          </w:tcPr>
          <w:p>
            <w:pPr>
              <w:spacing w:after="0"/>
              <w:rPr>
                <w:sz w:val="19"/>
                <w:szCs w:val="19"/>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geologic feature, or that are otherwise closely related to such geologic feature (either structural or stratigraphic).</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Gross acres or gross wells</w:t>
            </w:r>
          </w:p>
        </w:tc>
        <w:tc>
          <w:tcPr>
            <w:tcW w:w="8920" w:type="dxa"/>
            <w:vAlign w:val="bottom"/>
          </w:tcPr>
          <w:p>
            <w:pPr>
              <w:ind w:left="42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Horizontal drilling</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 drilling technique used in certain formations where a well is drilled vertically to a certain depth and then drilled at a</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spacing w:after="0"/>
              <w:rPr>
                <w:sz w:val="19"/>
                <w:szCs w:val="19"/>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angle with a specified interval.</w:t>
            </w:r>
          </w:p>
        </w:tc>
        <w:tc>
          <w:tcPr>
            <w:tcW w:w="0" w:type="dxa"/>
            <w:vAlign w:val="bottom"/>
          </w:tcPr>
          <w:p>
            <w:pPr>
              <w:spacing w:after="0"/>
              <w:rPr>
                <w:sz w:val="1"/>
                <w:szCs w:val="1"/>
                <w:color w:val="auto"/>
              </w:rPr>
            </w:pPr>
          </w:p>
        </w:tc>
      </w:tr>
      <w:tr>
        <w:trPr>
          <w:trHeight w:val="330"/>
        </w:trPr>
        <w:tc>
          <w:tcPr>
            <w:tcW w:w="2300" w:type="dxa"/>
            <w:vAlign w:val="bottom"/>
          </w:tcPr>
          <w:p>
            <w:pPr>
              <w:ind w:left="20"/>
              <w:spacing w:after="0"/>
              <w:rPr>
                <w:sz w:val="20"/>
                <w:szCs w:val="20"/>
                <w:color w:val="auto"/>
              </w:rPr>
            </w:pPr>
            <w:r>
              <w:rPr>
                <w:rFonts w:ascii="Arial" w:cs="Arial" w:eastAsia="Arial" w:hAnsi="Arial"/>
                <w:sz w:val="18"/>
                <w:szCs w:val="18"/>
                <w:color w:val="auto"/>
              </w:rPr>
              <w:t>Hydraulic fracturing</w:t>
            </w:r>
          </w:p>
        </w:tc>
        <w:tc>
          <w:tcPr>
            <w:tcW w:w="8920" w:type="dxa"/>
            <w:vAlign w:val="bottom"/>
          </w:tcPr>
          <w:p>
            <w:pPr>
              <w:ind w:left="420"/>
              <w:spacing w:after="0"/>
              <w:rPr>
                <w:sz w:val="20"/>
                <w:szCs w:val="20"/>
                <w:color w:val="auto"/>
              </w:rPr>
            </w:pPr>
            <w:r>
              <w:rPr>
                <w:rFonts w:ascii="Arial" w:cs="Arial" w:eastAsia="Arial" w:hAnsi="Arial"/>
                <w:sz w:val="18"/>
                <w:szCs w:val="18"/>
                <w:color w:val="auto"/>
                <w:w w:val="90"/>
              </w:rPr>
              <w:t>The process of creating and preserving a fracture or system of fractures in a reservoir rock, typically by injecting a fluid</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under pressure through a wellbore and into the targeted formation.</w:t>
            </w:r>
          </w:p>
        </w:tc>
        <w:tc>
          <w:tcPr>
            <w:tcW w:w="0" w:type="dxa"/>
            <w:vAlign w:val="bottom"/>
          </w:tcPr>
          <w:p>
            <w:pPr>
              <w:spacing w:after="0"/>
              <w:rPr>
                <w:sz w:val="1"/>
                <w:szCs w:val="1"/>
                <w:color w:val="auto"/>
              </w:rPr>
            </w:pPr>
          </w:p>
        </w:tc>
      </w:tr>
      <w:tr>
        <w:trPr>
          <w:trHeight w:val="382"/>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Hydrocarbon</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 organic compound containing only carbon and hydrogen.</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MBbl</w:t>
            </w:r>
          </w:p>
        </w:tc>
        <w:tc>
          <w:tcPr>
            <w:tcW w:w="8920" w:type="dxa"/>
            <w:vAlign w:val="bottom"/>
          </w:tcPr>
          <w:p>
            <w:pPr>
              <w:ind w:left="420"/>
              <w:spacing w:after="0"/>
              <w:rPr>
                <w:sz w:val="20"/>
                <w:szCs w:val="20"/>
                <w:color w:val="auto"/>
              </w:rPr>
            </w:pPr>
            <w:r>
              <w:rPr>
                <w:rFonts w:ascii="Arial" w:cs="Arial" w:eastAsia="Arial" w:hAnsi="Arial"/>
                <w:sz w:val="18"/>
                <w:szCs w:val="18"/>
                <w:color w:val="auto"/>
              </w:rPr>
              <w:t>One thousand barrels.</w:t>
            </w:r>
          </w:p>
        </w:tc>
        <w:tc>
          <w:tcPr>
            <w:tcW w:w="0" w:type="dxa"/>
            <w:vAlign w:val="bottom"/>
          </w:tcPr>
          <w:p>
            <w:pPr>
              <w:spacing w:after="0"/>
              <w:rPr>
                <w:sz w:val="1"/>
                <w:szCs w:val="1"/>
                <w:color w:val="auto"/>
              </w:rPr>
            </w:pPr>
          </w:p>
        </w:tc>
      </w:tr>
      <w:tr>
        <w:trPr>
          <w:trHeight w:val="382"/>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MBbl/d</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One thousand barrels per day.</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8"/>
                <w:szCs w:val="18"/>
                <w:color w:val="auto"/>
              </w:rPr>
              <w:t>MMcf</w:t>
            </w:r>
          </w:p>
        </w:tc>
        <w:tc>
          <w:tcPr>
            <w:tcW w:w="8920" w:type="dxa"/>
            <w:vAlign w:val="bottom"/>
          </w:tcPr>
          <w:p>
            <w:pPr>
              <w:ind w:left="420"/>
              <w:spacing w:after="0"/>
              <w:rPr>
                <w:sz w:val="20"/>
                <w:szCs w:val="20"/>
                <w:color w:val="auto"/>
              </w:rPr>
            </w:pPr>
            <w:r>
              <w:rPr>
                <w:rFonts w:ascii="Arial" w:cs="Arial" w:eastAsia="Arial" w:hAnsi="Arial"/>
                <w:sz w:val="18"/>
                <w:szCs w:val="18"/>
                <w:color w:val="auto"/>
              </w:rPr>
              <w:t>One million cubic feet of natural gas.</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MMcf/d</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One million cubic feet of natural gas per day.</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MMBbl</w:t>
            </w:r>
          </w:p>
        </w:tc>
        <w:tc>
          <w:tcPr>
            <w:tcW w:w="8920" w:type="dxa"/>
            <w:vAlign w:val="bottom"/>
          </w:tcPr>
          <w:p>
            <w:pPr>
              <w:ind w:left="420"/>
              <w:spacing w:after="0"/>
              <w:rPr>
                <w:sz w:val="20"/>
                <w:szCs w:val="20"/>
                <w:color w:val="auto"/>
              </w:rPr>
            </w:pPr>
            <w:r>
              <w:rPr>
                <w:rFonts w:ascii="Arial" w:cs="Arial" w:eastAsia="Arial" w:hAnsi="Arial"/>
                <w:sz w:val="18"/>
                <w:szCs w:val="18"/>
                <w:color w:val="auto"/>
              </w:rPr>
              <w:t>One million barrels.</w:t>
            </w:r>
          </w:p>
        </w:tc>
        <w:tc>
          <w:tcPr>
            <w:tcW w:w="0" w:type="dxa"/>
            <w:vAlign w:val="bottom"/>
          </w:tcPr>
          <w:p>
            <w:pPr>
              <w:spacing w:after="0"/>
              <w:rPr>
                <w:sz w:val="1"/>
                <w:szCs w:val="1"/>
                <w:color w:val="auto"/>
              </w:rPr>
            </w:pPr>
          </w:p>
        </w:tc>
      </w:tr>
      <w:tr>
        <w:trPr>
          <w:trHeight w:val="382"/>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MMBbl/d</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One million barrels per day.</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MMBtu</w:t>
            </w:r>
          </w:p>
        </w:tc>
        <w:tc>
          <w:tcPr>
            <w:tcW w:w="8920" w:type="dxa"/>
            <w:vAlign w:val="bottom"/>
          </w:tcPr>
          <w:p>
            <w:pPr>
              <w:ind w:left="420"/>
              <w:spacing w:after="0"/>
              <w:rPr>
                <w:sz w:val="20"/>
                <w:szCs w:val="20"/>
                <w:color w:val="auto"/>
              </w:rPr>
            </w:pPr>
            <w:r>
              <w:rPr>
                <w:rFonts w:ascii="Arial" w:cs="Arial" w:eastAsia="Arial" w:hAnsi="Arial"/>
                <w:sz w:val="18"/>
                <w:szCs w:val="18"/>
                <w:color w:val="auto"/>
              </w:rPr>
              <w:t>One million British thermal units.</w:t>
            </w:r>
          </w:p>
        </w:tc>
        <w:tc>
          <w:tcPr>
            <w:tcW w:w="0" w:type="dxa"/>
            <w:vAlign w:val="bottom"/>
          </w:tcPr>
          <w:p>
            <w:pPr>
              <w:spacing w:after="0"/>
              <w:rPr>
                <w:sz w:val="1"/>
                <w:szCs w:val="1"/>
                <w:color w:val="auto"/>
              </w:rPr>
            </w:pPr>
          </w:p>
        </w:tc>
      </w:tr>
      <w:tr>
        <w:trPr>
          <w:trHeight w:val="382"/>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MMBtu/d</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One million British thermal units per day.</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8920" w:type="dxa"/>
            <w:vAlign w:val="bottom"/>
          </w:tcPr>
          <w:p>
            <w:pPr>
              <w:ind w:left="420"/>
              <w:spacing w:after="0"/>
              <w:rPr>
                <w:sz w:val="20"/>
                <w:szCs w:val="20"/>
                <w:color w:val="auto"/>
              </w:rPr>
            </w:pPr>
            <w:r>
              <w:rPr>
                <w:rFonts w:ascii="Arial" w:cs="Arial" w:eastAsia="Arial" w:hAnsi="Arial"/>
                <w:sz w:val="18"/>
                <w:szCs w:val="18"/>
                <w:color w:val="auto"/>
              </w:rPr>
              <w:t>Hydrocarbon gas found in the earth, composed of methane, ethane, butane, propane and other gases.</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Natural gas liquids; the combination of ethane, propane, butane and natural gasolines that, when removed from natural</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spacing w:after="0"/>
              <w:rPr>
                <w:sz w:val="19"/>
                <w:szCs w:val="19"/>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gas, becomes liquid under various levels of higher pressure and lower temperature.</w:t>
            </w:r>
          </w:p>
        </w:tc>
        <w:tc>
          <w:tcPr>
            <w:tcW w:w="0" w:type="dxa"/>
            <w:vAlign w:val="bottom"/>
          </w:tcPr>
          <w:p>
            <w:pPr>
              <w:spacing w:after="0"/>
              <w:rPr>
                <w:sz w:val="1"/>
                <w:szCs w:val="1"/>
                <w:color w:val="auto"/>
              </w:rPr>
            </w:pPr>
          </w:p>
        </w:tc>
      </w:tr>
      <w:tr>
        <w:trPr>
          <w:trHeight w:val="382"/>
        </w:trPr>
        <w:tc>
          <w:tcPr>
            <w:tcW w:w="2300" w:type="dxa"/>
            <w:vAlign w:val="bottom"/>
          </w:tcPr>
          <w:p>
            <w:pPr>
              <w:ind w:left="20"/>
              <w:spacing w:after="0"/>
              <w:rPr>
                <w:sz w:val="20"/>
                <w:szCs w:val="20"/>
                <w:color w:val="auto"/>
              </w:rPr>
            </w:pPr>
            <w:r>
              <w:rPr>
                <w:rFonts w:ascii="Arial" w:cs="Arial" w:eastAsia="Arial" w:hAnsi="Arial"/>
                <w:sz w:val="18"/>
                <w:szCs w:val="18"/>
                <w:color w:val="auto"/>
              </w:rPr>
              <w:t>Operator</w:t>
            </w:r>
          </w:p>
        </w:tc>
        <w:tc>
          <w:tcPr>
            <w:tcW w:w="8920" w:type="dxa"/>
            <w:vAlign w:val="bottom"/>
          </w:tcPr>
          <w:p>
            <w:pPr>
              <w:ind w:left="420"/>
              <w:spacing w:after="0"/>
              <w:rPr>
                <w:sz w:val="20"/>
                <w:szCs w:val="20"/>
                <w:color w:val="auto"/>
              </w:rPr>
            </w:pPr>
            <w:r>
              <w:rPr>
                <w:rFonts w:ascii="Arial" w:cs="Arial" w:eastAsia="Arial" w:hAnsi="Arial"/>
                <w:sz w:val="18"/>
                <w:szCs w:val="18"/>
                <w:color w:val="auto"/>
                <w:w w:val="90"/>
              </w:rPr>
              <w:t>The individual or company responsible for the exploration and/or production of a crude oil or natural gas well or lease.</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Estimated remaining quantities of crude oil and natural gas and related substances anticipated to be economically</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90"/>
              </w:rPr>
              <w:t>producible, as of a given date, by application of development projects to known accumulations. In addition, there must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87"/>
              </w:rPr>
              <w:t>exist, or there must be a reasonable expectation that there will exist, the legal right to produce or a revenue interest in the</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90"/>
              </w:rPr>
              <w:t>production, installed means of delivering crude oil and natural gas or related substances to the market and all permits</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92"/>
              </w:rPr>
              <w:t>and financing required to implement the project. Reserves should not be assigned to adjacent reservoirs isolated by</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8920" w:type="dxa"/>
            <w:vAlign w:val="bottom"/>
            <w:shd w:val="clear" w:color="auto" w:fill="CCEEFF"/>
          </w:tcPr>
          <w:p>
            <w:pPr>
              <w:ind w:left="420"/>
              <w:spacing w:after="0" w:line="171"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spacing w:after="0"/>
              <w:rPr>
                <w:sz w:val="19"/>
                <w:szCs w:val="19"/>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reservoir (i.e., potentially recoverable resources from undiscovered accumulations).</w:t>
            </w:r>
          </w:p>
        </w:tc>
        <w:tc>
          <w:tcPr>
            <w:tcW w:w="0" w:type="dxa"/>
            <w:vAlign w:val="bottom"/>
          </w:tcPr>
          <w:p>
            <w:pPr>
              <w:spacing w:after="0"/>
              <w:rPr>
                <w:sz w:val="1"/>
                <w:szCs w:val="1"/>
                <w:color w:val="auto"/>
              </w:rPr>
            </w:pPr>
          </w:p>
        </w:tc>
      </w:tr>
      <w:tr>
        <w:trPr>
          <w:trHeight w:val="382"/>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Throughput</w:t>
            </w:r>
          </w:p>
        </w:tc>
        <w:tc>
          <w:tcPr>
            <w:tcW w:w="8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The volume of product transported or passing through a pipeline, plant, terminal or other facility.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95"/>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Tight formation</w:t>
            </w:r>
          </w:p>
        </w:tc>
        <w:tc>
          <w:tcPr>
            <w:tcW w:w="92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9"/>
              </w:rPr>
              <w:t>A formation with low permeability that produces natural gas with very low flow rates for long periods of time.</w:t>
            </w:r>
          </w:p>
        </w:tc>
      </w:tr>
      <w:tr>
        <w:trPr>
          <w:trHeight w:val="330"/>
        </w:trPr>
        <w:tc>
          <w:tcPr>
            <w:tcW w:w="1960" w:type="dxa"/>
            <w:vAlign w:val="bottom"/>
          </w:tcPr>
          <w:p>
            <w:pPr>
              <w:ind w:left="20"/>
              <w:spacing w:after="0"/>
              <w:rPr>
                <w:sz w:val="20"/>
                <w:szCs w:val="20"/>
                <w:color w:val="auto"/>
              </w:rPr>
            </w:pPr>
            <w:r>
              <w:rPr>
                <w:rFonts w:ascii="Arial" w:cs="Arial" w:eastAsia="Arial" w:hAnsi="Arial"/>
                <w:sz w:val="18"/>
                <w:szCs w:val="18"/>
                <w:color w:val="auto"/>
              </w:rPr>
              <w:t>Working interest</w:t>
            </w:r>
          </w:p>
        </w:tc>
        <w:tc>
          <w:tcPr>
            <w:tcW w:w="9260" w:type="dxa"/>
            <w:vAlign w:val="bottom"/>
          </w:tcPr>
          <w:p>
            <w:pPr>
              <w:ind w:left="760"/>
              <w:spacing w:after="0"/>
              <w:rPr>
                <w:sz w:val="20"/>
                <w:szCs w:val="20"/>
                <w:color w:val="auto"/>
              </w:rPr>
            </w:pPr>
            <w:r>
              <w:rPr>
                <w:rFonts w:ascii="Arial" w:cs="Arial" w:eastAsia="Arial" w:hAnsi="Arial"/>
                <w:sz w:val="18"/>
                <w:szCs w:val="18"/>
                <w:color w:val="auto"/>
                <w:w w:val="89"/>
              </w:rPr>
              <w:t>An operating interest that gives the owner the right to drill, produce and conduct operating activities on the property and</w:t>
            </w:r>
          </w:p>
        </w:tc>
      </w:tr>
      <w:tr>
        <w:trPr>
          <w:trHeight w:val="223"/>
        </w:trPr>
        <w:tc>
          <w:tcPr>
            <w:tcW w:w="196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receive a share of production and requires the owner to pay a share of the costs of drilling and production operations.</w:t>
            </w:r>
          </w:p>
        </w:tc>
      </w:tr>
    </w:tbl>
    <w:p>
      <w:pPr>
        <w:spacing w:after="0" w:line="200" w:lineRule="exact"/>
        <w:rPr>
          <w:sz w:val="20"/>
          <w:szCs w:val="20"/>
          <w:color w:val="auto"/>
        </w:rPr>
      </w:pPr>
    </w:p>
    <w:p>
      <w:pPr>
        <w:spacing w:after="0" w:line="243" w:lineRule="exact"/>
        <w:rPr>
          <w:sz w:val="20"/>
          <w:szCs w:val="20"/>
          <w:color w:val="auto"/>
        </w:rPr>
      </w:pPr>
    </w:p>
    <w:p>
      <w:pPr>
        <w:ind w:left="640" w:right="3880" w:firstLine="3272"/>
        <w:spacing w:after="0" w:line="445" w:lineRule="auto"/>
        <w:rPr>
          <w:sz w:val="20"/>
          <w:szCs w:val="20"/>
          <w:color w:val="auto"/>
        </w:rPr>
      </w:pPr>
      <w:r>
        <w:rPr>
          <w:rFonts w:ascii="Arial" w:cs="Arial" w:eastAsia="Arial" w:hAnsi="Arial"/>
          <w:sz w:val="18"/>
          <w:szCs w:val="18"/>
          <w:b w:val="1"/>
          <w:bCs w:val="1"/>
          <w:color w:val="auto"/>
        </w:rPr>
        <w:t xml:space="preserve">GLOSSARY OF CERTAIN OTHER TERMS </w:t>
      </w:r>
      <w:r>
        <w:rPr>
          <w:rFonts w:ascii="Arial" w:cs="Arial" w:eastAsia="Arial" w:hAnsi="Arial"/>
          <w:sz w:val="18"/>
          <w:szCs w:val="18"/>
          <w:color w:val="auto"/>
        </w:rPr>
        <w:t>The following is a glossary of certain other terms used in this report:</w:t>
      </w:r>
    </w:p>
    <w:tbl>
      <w:tblPr>
        <w:tblLayout w:type="fixed"/>
        <w:tblInd w:w="0" w:type="dxa"/>
        <w:tblCellMar>
          <w:top w:w="0" w:type="dxa"/>
          <w:left w:w="0" w:type="dxa"/>
          <w:bottom w:w="0" w:type="dxa"/>
          <w:right w:w="0" w:type="dxa"/>
        </w:tblCellMar>
      </w:tblPr>
      <w:tr>
        <w:trPr>
          <w:trHeight w:val="219"/>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0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Accounting Standards Update.</w:t>
            </w: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ASC</w:t>
            </w:r>
          </w:p>
        </w:tc>
        <w:tc>
          <w:tcPr>
            <w:tcW w:w="9060" w:type="dxa"/>
            <w:vAlign w:val="bottom"/>
          </w:tcPr>
          <w:p>
            <w:pPr>
              <w:ind w:left="560"/>
              <w:spacing w:after="0"/>
              <w:rPr>
                <w:sz w:val="20"/>
                <w:szCs w:val="20"/>
                <w:color w:val="auto"/>
              </w:rPr>
            </w:pPr>
            <w:r>
              <w:rPr>
                <w:rFonts w:ascii="Arial" w:cs="Arial" w:eastAsia="Arial" w:hAnsi="Arial"/>
                <w:sz w:val="18"/>
                <w:szCs w:val="18"/>
                <w:color w:val="auto"/>
              </w:rPr>
              <w:t>Accounting Standards Codification.</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 Act</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Delaware Revised Uniform Limited Partnership Act.</w:t>
            </w:r>
          </w:p>
        </w:tc>
      </w:tr>
      <w:tr>
        <w:trPr>
          <w:trHeight w:val="330"/>
        </w:trPr>
        <w:tc>
          <w:tcPr>
            <w:tcW w:w="2160" w:type="dxa"/>
            <w:vAlign w:val="bottom"/>
          </w:tcPr>
          <w:p>
            <w:pPr>
              <w:ind w:left="20"/>
              <w:spacing w:after="0"/>
              <w:rPr>
                <w:sz w:val="20"/>
                <w:szCs w:val="20"/>
                <w:color w:val="auto"/>
              </w:rPr>
            </w:pPr>
            <w:r>
              <w:rPr>
                <w:rFonts w:ascii="Arial" w:cs="Arial" w:eastAsia="Arial" w:hAnsi="Arial"/>
                <w:sz w:val="18"/>
                <w:szCs w:val="18"/>
                <w:color w:val="auto"/>
              </w:rPr>
              <w:t>Diamondback</w:t>
            </w:r>
          </w:p>
        </w:tc>
        <w:tc>
          <w:tcPr>
            <w:tcW w:w="9060" w:type="dxa"/>
            <w:vAlign w:val="bottom"/>
          </w:tcPr>
          <w:p>
            <w:pPr>
              <w:ind w:left="560"/>
              <w:spacing w:after="0"/>
              <w:rPr>
                <w:sz w:val="20"/>
                <w:szCs w:val="20"/>
                <w:color w:val="auto"/>
              </w:rPr>
            </w:pPr>
            <w:r>
              <w:rPr>
                <w:rFonts w:ascii="Arial" w:cs="Arial" w:eastAsia="Arial" w:hAnsi="Arial"/>
                <w:sz w:val="18"/>
                <w:szCs w:val="18"/>
                <w:color w:val="auto"/>
                <w:w w:val="90"/>
              </w:rPr>
              <w:t>Diamondback Energy, Inc., a Delaware corporation, and its subsidiaries other than the Partnership and its subsidiaries</w:t>
            </w:r>
          </w:p>
        </w:tc>
      </w:tr>
      <w:tr>
        <w:trPr>
          <w:trHeight w:val="223"/>
        </w:trPr>
        <w:tc>
          <w:tcPr>
            <w:tcW w:w="2160" w:type="dxa"/>
            <w:vAlign w:val="bottom"/>
          </w:tcPr>
          <w:p>
            <w:pPr>
              <w:spacing w:after="0"/>
              <w:rPr>
                <w:sz w:val="19"/>
                <w:szCs w:val="19"/>
                <w:color w:val="auto"/>
              </w:rPr>
            </w:pPr>
          </w:p>
        </w:tc>
        <w:tc>
          <w:tcPr>
            <w:tcW w:w="9060" w:type="dxa"/>
            <w:vAlign w:val="bottom"/>
          </w:tcPr>
          <w:p>
            <w:pPr>
              <w:ind w:left="560"/>
              <w:spacing w:after="0"/>
              <w:rPr>
                <w:sz w:val="20"/>
                <w:szCs w:val="20"/>
                <w:color w:val="auto"/>
              </w:rPr>
            </w:pPr>
            <w:r>
              <w:rPr>
                <w:rFonts w:ascii="Arial" w:cs="Arial" w:eastAsia="Arial" w:hAnsi="Arial"/>
                <w:sz w:val="18"/>
                <w:szCs w:val="18"/>
                <w:color w:val="auto"/>
              </w:rPr>
              <w:t>(including the Operating Company).</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DOT</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U.S. Department of Transportation.</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EPA</w:t>
            </w:r>
          </w:p>
        </w:tc>
        <w:tc>
          <w:tcPr>
            <w:tcW w:w="9060" w:type="dxa"/>
            <w:vAlign w:val="bottom"/>
          </w:tcPr>
          <w:p>
            <w:pPr>
              <w:ind w:left="560"/>
              <w:spacing w:after="0"/>
              <w:rPr>
                <w:sz w:val="20"/>
                <w:szCs w:val="20"/>
                <w:color w:val="auto"/>
              </w:rPr>
            </w:pPr>
            <w:r>
              <w:rPr>
                <w:rFonts w:ascii="Arial" w:cs="Arial" w:eastAsia="Arial" w:hAnsi="Arial"/>
                <w:sz w:val="18"/>
                <w:szCs w:val="18"/>
                <w:color w:val="auto"/>
              </w:rPr>
              <w:t>U.S. Environmental Protection Agency.</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Securities Exchange Act of 1934, as amended.</w:t>
            </w: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FASB</w:t>
            </w:r>
          </w:p>
        </w:tc>
        <w:tc>
          <w:tcPr>
            <w:tcW w:w="9060" w:type="dxa"/>
            <w:vAlign w:val="bottom"/>
          </w:tcPr>
          <w:p>
            <w:pPr>
              <w:ind w:left="560"/>
              <w:spacing w:after="0"/>
              <w:rPr>
                <w:sz w:val="20"/>
                <w:szCs w:val="20"/>
                <w:color w:val="auto"/>
              </w:rPr>
            </w:pPr>
            <w:r>
              <w:rPr>
                <w:rFonts w:ascii="Arial" w:cs="Arial" w:eastAsia="Arial" w:hAnsi="Arial"/>
                <w:sz w:val="18"/>
                <w:szCs w:val="18"/>
                <w:color w:val="auto"/>
              </w:rPr>
              <w:t>Financial Accounting Standards Board.</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FERC</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Federal Energy Regulatory Commission.</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GAAP</w:t>
            </w:r>
          </w:p>
        </w:tc>
        <w:tc>
          <w:tcPr>
            <w:tcW w:w="9060" w:type="dxa"/>
            <w:vAlign w:val="bottom"/>
          </w:tcPr>
          <w:p>
            <w:pPr>
              <w:ind w:left="5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3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Rattler Midstream GP LLC, a Delaware limited liability company; the General Partner of the Partnership and a wholly</w:t>
            </w:r>
          </w:p>
        </w:tc>
      </w:tr>
      <w:tr>
        <w:trPr>
          <w:trHeight w:val="223"/>
        </w:trPr>
        <w:tc>
          <w:tcPr>
            <w:tcW w:w="2160" w:type="dxa"/>
            <w:vAlign w:val="bottom"/>
            <w:shd w:val="clear" w:color="auto" w:fill="CCEEFF"/>
          </w:tcPr>
          <w:p>
            <w:pPr>
              <w:spacing w:after="0"/>
              <w:rPr>
                <w:sz w:val="19"/>
                <w:szCs w:val="19"/>
                <w:color w:val="auto"/>
              </w:rPr>
            </w:pP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owned subsidiary of Diamondback.</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GHG</w:t>
            </w:r>
          </w:p>
        </w:tc>
        <w:tc>
          <w:tcPr>
            <w:tcW w:w="9060" w:type="dxa"/>
            <w:vAlign w:val="bottom"/>
          </w:tcPr>
          <w:p>
            <w:pPr>
              <w:ind w:left="560"/>
              <w:spacing w:after="0"/>
              <w:rPr>
                <w:sz w:val="20"/>
                <w:szCs w:val="20"/>
                <w:color w:val="auto"/>
              </w:rPr>
            </w:pPr>
            <w:r>
              <w:rPr>
                <w:rFonts w:ascii="Arial" w:cs="Arial" w:eastAsia="Arial" w:hAnsi="Arial"/>
                <w:sz w:val="18"/>
                <w:szCs w:val="18"/>
                <w:color w:val="auto"/>
              </w:rPr>
              <w:t>Greenhouse gases.</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Rattler Holdings LLC, a wholly owned subsidiary of Rattler.</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IPO</w:t>
            </w:r>
          </w:p>
        </w:tc>
        <w:tc>
          <w:tcPr>
            <w:tcW w:w="9060" w:type="dxa"/>
            <w:vAlign w:val="bottom"/>
          </w:tcPr>
          <w:p>
            <w:pPr>
              <w:ind w:left="560"/>
              <w:spacing w:after="0"/>
              <w:rPr>
                <w:sz w:val="20"/>
                <w:szCs w:val="20"/>
                <w:color w:val="auto"/>
              </w:rPr>
            </w:pPr>
            <w:r>
              <w:rPr>
                <w:rFonts w:ascii="Arial" w:cs="Arial" w:eastAsia="Arial" w:hAnsi="Arial"/>
                <w:sz w:val="18"/>
                <w:szCs w:val="18"/>
                <w:color w:val="auto"/>
              </w:rPr>
              <w:t>The Partnership’s initial public offering.</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London interbank offered rate.</w:t>
            </w: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LTIP</w:t>
            </w:r>
          </w:p>
        </w:tc>
        <w:tc>
          <w:tcPr>
            <w:tcW w:w="9060" w:type="dxa"/>
            <w:vAlign w:val="bottom"/>
          </w:tcPr>
          <w:p>
            <w:pPr>
              <w:ind w:left="560"/>
              <w:spacing w:after="0"/>
              <w:rPr>
                <w:sz w:val="20"/>
                <w:szCs w:val="20"/>
                <w:color w:val="auto"/>
              </w:rPr>
            </w:pPr>
            <w:r>
              <w:rPr>
                <w:rFonts w:ascii="Arial" w:cs="Arial" w:eastAsia="Arial" w:hAnsi="Arial"/>
                <w:sz w:val="18"/>
                <w:szCs w:val="18"/>
                <w:color w:val="auto"/>
              </w:rPr>
              <w:t>Rattler Midstream LP Long Term Incentive Plan.</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Nasdaq Global Select Market.</w:t>
            </w: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Notes</w:t>
            </w:r>
          </w:p>
        </w:tc>
        <w:tc>
          <w:tcPr>
            <w:tcW w:w="9060" w:type="dxa"/>
            <w:vAlign w:val="bottom"/>
          </w:tcPr>
          <w:p>
            <w:pPr>
              <w:ind w:left="560"/>
              <w:spacing w:after="0"/>
              <w:rPr>
                <w:sz w:val="20"/>
                <w:szCs w:val="20"/>
                <w:color w:val="auto"/>
              </w:rPr>
            </w:pPr>
            <w:r>
              <w:rPr>
                <w:rFonts w:ascii="Arial" w:cs="Arial" w:eastAsia="Arial" w:hAnsi="Arial"/>
                <w:sz w:val="18"/>
                <w:szCs w:val="18"/>
                <w:color w:val="auto"/>
                <w:w w:val="98"/>
              </w:rPr>
              <w:t>The $500.0 million in aggregate principal amount of 5.625% Senior Notes due 2025 issued on July 14, 2020.</w:t>
            </w:r>
          </w:p>
        </w:tc>
      </w:tr>
      <w:tr>
        <w:trPr>
          <w:trHeight w:val="3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Company</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Rattler Midstream Operating LLC, a Delaware limited liability company and a consolidated subsidiary of the</w:t>
            </w:r>
          </w:p>
        </w:tc>
      </w:tr>
      <w:tr>
        <w:trPr>
          <w:trHeight w:val="223"/>
        </w:trPr>
        <w:tc>
          <w:tcPr>
            <w:tcW w:w="2160" w:type="dxa"/>
            <w:vAlign w:val="bottom"/>
            <w:shd w:val="clear" w:color="auto" w:fill="CCEEFF"/>
          </w:tcPr>
          <w:p>
            <w:pPr>
              <w:spacing w:after="0"/>
              <w:rPr>
                <w:sz w:val="19"/>
                <w:szCs w:val="19"/>
                <w:color w:val="auto"/>
              </w:rPr>
            </w:pP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Partnership.</w:t>
            </w: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OPEC</w:t>
            </w:r>
          </w:p>
        </w:tc>
        <w:tc>
          <w:tcPr>
            <w:tcW w:w="9060" w:type="dxa"/>
            <w:vAlign w:val="bottom"/>
          </w:tcPr>
          <w:p>
            <w:pPr>
              <w:ind w:left="560"/>
              <w:spacing w:after="0"/>
              <w:rPr>
                <w:sz w:val="20"/>
                <w:szCs w:val="20"/>
                <w:color w:val="auto"/>
              </w:rPr>
            </w:pPr>
            <w:r>
              <w:rPr>
                <w:rFonts w:ascii="Arial" w:cs="Arial" w:eastAsia="Arial" w:hAnsi="Arial"/>
                <w:sz w:val="18"/>
                <w:szCs w:val="18"/>
                <w:color w:val="auto"/>
              </w:rPr>
              <w:t>The Organization of the Petroleum Exporting Countries.</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OSHA</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Federal Occupational Safety and Health Act.</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Partnership</w:t>
            </w:r>
          </w:p>
        </w:tc>
        <w:tc>
          <w:tcPr>
            <w:tcW w:w="9060" w:type="dxa"/>
            <w:vAlign w:val="bottom"/>
          </w:tcPr>
          <w:p>
            <w:pPr>
              <w:ind w:left="560"/>
              <w:spacing w:after="0"/>
              <w:rPr>
                <w:sz w:val="20"/>
                <w:szCs w:val="20"/>
                <w:color w:val="auto"/>
              </w:rPr>
            </w:pPr>
            <w:r>
              <w:rPr>
                <w:rFonts w:ascii="Arial" w:cs="Arial" w:eastAsia="Arial" w:hAnsi="Arial"/>
                <w:sz w:val="18"/>
                <w:szCs w:val="18"/>
                <w:color w:val="auto"/>
              </w:rPr>
              <w:t>Rattler Midstream LP, a Delaware limited partnership.</w:t>
            </w:r>
          </w:p>
        </w:tc>
      </w:tr>
      <w:tr>
        <w:trPr>
          <w:trHeight w:val="382"/>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agreement</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The first amended and restated agreement of limited partnership of Rattler Midstream LP, dated May 28, 2019.</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Predecessor</w:t>
            </w:r>
          </w:p>
        </w:tc>
        <w:tc>
          <w:tcPr>
            <w:tcW w:w="9060" w:type="dxa"/>
            <w:vAlign w:val="bottom"/>
          </w:tcPr>
          <w:p>
            <w:pPr>
              <w:ind w:left="560"/>
              <w:spacing w:after="0"/>
              <w:rPr>
                <w:sz w:val="20"/>
                <w:szCs w:val="20"/>
                <w:color w:val="auto"/>
              </w:rPr>
            </w:pPr>
            <w:r>
              <w:rPr>
                <w:rFonts w:ascii="Arial" w:cs="Arial" w:eastAsia="Arial" w:hAnsi="Arial"/>
                <w:sz w:val="18"/>
                <w:szCs w:val="18"/>
                <w:color w:val="auto"/>
              </w:rPr>
              <w:t>The Operating Company, prior to May 28, 2019 for accounting purposes.</w:t>
            </w: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RRC</w:t>
            </w:r>
          </w:p>
        </w:tc>
        <w:tc>
          <w:tcPr>
            <w:tcW w:w="9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The Railroad Commission of Texas.</w:t>
            </w:r>
          </w:p>
        </w:tc>
      </w:tr>
      <w:tr>
        <w:trPr>
          <w:trHeight w:val="382"/>
        </w:trPr>
        <w:tc>
          <w:tcPr>
            <w:tcW w:w="2160" w:type="dxa"/>
            <w:vAlign w:val="bottom"/>
          </w:tcPr>
          <w:p>
            <w:pPr>
              <w:ind w:left="20"/>
              <w:spacing w:after="0"/>
              <w:rPr>
                <w:sz w:val="20"/>
                <w:szCs w:val="20"/>
                <w:color w:val="auto"/>
              </w:rPr>
            </w:pPr>
            <w:r>
              <w:rPr>
                <w:rFonts w:ascii="Arial" w:cs="Arial" w:eastAsia="Arial" w:hAnsi="Arial"/>
                <w:sz w:val="18"/>
                <w:szCs w:val="18"/>
                <w:color w:val="auto"/>
              </w:rPr>
              <w:t>SEC</w:t>
            </w:r>
          </w:p>
        </w:tc>
        <w:tc>
          <w:tcPr>
            <w:tcW w:w="9060" w:type="dxa"/>
            <w:vAlign w:val="bottom"/>
          </w:tcPr>
          <w:p>
            <w:pPr>
              <w:ind w:left="560"/>
              <w:spacing w:after="0"/>
              <w:rPr>
                <w:sz w:val="20"/>
                <w:szCs w:val="20"/>
                <w:color w:val="auto"/>
              </w:rPr>
            </w:pPr>
            <w:r>
              <w:rPr>
                <w:rFonts w:ascii="Arial" w:cs="Arial" w:eastAsia="Arial" w:hAnsi="Arial"/>
                <w:sz w:val="18"/>
                <w:szCs w:val="18"/>
                <w:color w:val="auto"/>
              </w:rPr>
              <w:t>Securities and Exchange Commission.</w:t>
            </w:r>
          </w:p>
        </w:tc>
      </w:tr>
      <w:tr>
        <w:trPr>
          <w:trHeight w:val="382"/>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9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The Securities Act of 1933, as amended.</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CAUTIONARY STATEMENT REGARDING FORWARD-LOOKING STATEMENTS</w:t>
      </w:r>
    </w:p>
    <w:p>
      <w:pPr>
        <w:spacing w:after="0" w:line="235"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revenues, losses, costs, expenses, returns, cash flow, and financial position; anticipated benefits of strategic transactions (including acquisitions and divestitures); and plans and objectives of management (including plans for future cash flow from operations) are forward-looking statements. When used in this document, the words “aim,” “anticipate,” “believe,” “continue,” “could,” “estimate,” “expect,” “forecast,” “future,” “guidance,” “intend,” “may,” “model,” “outlook,” “plan,” “positioned,” “potential,” “predict,” “project,” “seek,” “should,” “target,” “will,” “would,” and similar expressions (including the negative of such terms) as they relate to the Partnership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 Unless the context requires otherwise, references to “we,” “us,” “our” or the “Partnership” are intended to mean the business and operations of the Partnership and its consolidated subsidiaries.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41" w:lineRule="exact"/>
        <w:rPr>
          <w:sz w:val="20"/>
          <w:szCs w:val="20"/>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Diamondback’s ability to meet its drilling and development plans on a timely basis or at all;</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supply and demand levels for oil, natural gas, and natural gas liquids, and the resulting impact on the price for those commodities;</w:t>
      </w:r>
    </w:p>
    <w:p>
      <w:pPr>
        <w:spacing w:after="0" w:line="53" w:lineRule="exact"/>
        <w:rPr>
          <w:rFonts w:ascii="Arial" w:cs="Arial" w:eastAsia="Arial" w:hAnsi="Arial"/>
          <w:sz w:val="16"/>
          <w:szCs w:val="16"/>
          <w:color w:val="auto"/>
        </w:rPr>
      </w:pPr>
    </w:p>
    <w:p>
      <w:pPr>
        <w:ind w:left="1200" w:hanging="325"/>
        <w:spacing w:after="0" w:line="262"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9" w:lineRule="exact"/>
        <w:rPr>
          <w:rFonts w:ascii="Arial" w:cs="Arial" w:eastAsia="Arial" w:hAnsi="Arial"/>
          <w:sz w:val="18"/>
          <w:szCs w:val="18"/>
          <w:color w:val="auto"/>
        </w:rPr>
      </w:pPr>
    </w:p>
    <w:p>
      <w:pPr>
        <w:ind w:left="1200" w:hanging="325"/>
        <w:spacing w:after="0" w:line="262"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9" w:lineRule="exact"/>
        <w:rPr>
          <w:rFonts w:ascii="Arial" w:cs="Arial" w:eastAsia="Arial" w:hAnsi="Arial"/>
          <w:sz w:val="18"/>
          <w:szCs w:val="18"/>
          <w:color w:val="auto"/>
        </w:rPr>
      </w:pPr>
    </w:p>
    <w:p>
      <w:pPr>
        <w:ind w:left="1200" w:hanging="325"/>
        <w:spacing w:after="0" w:line="259"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w:t>
      </w:r>
    </w:p>
    <w:p>
      <w:pPr>
        <w:spacing w:after="0" w:line="1" w:lineRule="exact"/>
        <w:rPr>
          <w:rFonts w:ascii="Arial" w:cs="Arial" w:eastAsia="Arial" w:hAnsi="Arial"/>
          <w:sz w:val="18"/>
          <w:szCs w:val="18"/>
          <w:color w:val="auto"/>
        </w:rPr>
      </w:pPr>
    </w:p>
    <w:p>
      <w:pPr>
        <w:ind w:left="1200" w:hanging="325"/>
        <w:spacing w:after="0" w:line="262"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9" w:lineRule="exact"/>
        <w:rPr>
          <w:rFonts w:ascii="Arial" w:cs="Arial" w:eastAsia="Arial" w:hAnsi="Arial"/>
          <w:sz w:val="18"/>
          <w:szCs w:val="18"/>
          <w:color w:val="auto"/>
        </w:rPr>
      </w:pPr>
    </w:p>
    <w:p>
      <w:pPr>
        <w:ind w:left="1200" w:right="20" w:hanging="325"/>
        <w:spacing w:after="0" w:line="262"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9" w:lineRule="exact"/>
        <w:rPr>
          <w:rFonts w:ascii="Arial" w:cs="Arial" w:eastAsia="Arial" w:hAnsi="Arial"/>
          <w:sz w:val="18"/>
          <w:szCs w:val="18"/>
          <w:color w:val="auto"/>
        </w:rPr>
      </w:pPr>
    </w:p>
    <w:p>
      <w:pPr>
        <w:ind w:left="1200" w:hanging="325"/>
        <w:spacing w:after="0" w:line="259"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RRC in an effort to control induced seismicity in the Permian Basin;</w:t>
      </w:r>
    </w:p>
    <w:p>
      <w:pPr>
        <w:spacing w:after="0" w:line="1"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66" w:lineRule="exact"/>
        <w:rPr>
          <w:rFonts w:ascii="Arial" w:cs="Arial" w:eastAsia="Arial" w:hAnsi="Arial"/>
          <w:sz w:val="16"/>
          <w:szCs w:val="16"/>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43" w:lineRule="exact"/>
        <w:rPr>
          <w:rFonts w:ascii="Arial" w:cs="Arial" w:eastAsia="Arial" w:hAnsi="Arial"/>
          <w:sz w:val="18"/>
          <w:szCs w:val="18"/>
          <w:color w:val="auto"/>
        </w:rPr>
      </w:pPr>
    </w:p>
    <w:p>
      <w:pPr>
        <w:ind w:left="1200" w:hanging="325"/>
        <w:spacing w:after="0" w:line="259"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1" w:lineRule="exact"/>
        <w:rPr>
          <w:rFonts w:ascii="Arial" w:cs="Arial" w:eastAsia="Arial" w:hAnsi="Arial"/>
          <w:sz w:val="18"/>
          <w:szCs w:val="18"/>
          <w:color w:val="auto"/>
        </w:rPr>
      </w:pPr>
    </w:p>
    <w:p>
      <w:pPr>
        <w:ind w:left="1200" w:hanging="325"/>
        <w:spacing w:after="0" w:line="262"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9"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costs of conducting midstream infrastructure services;</w:t>
      </w:r>
    </w:p>
    <w:p>
      <w:pPr>
        <w:spacing w:after="0" w:line="43" w:lineRule="exact"/>
        <w:rPr>
          <w:rFonts w:ascii="Arial" w:cs="Arial" w:eastAsia="Arial" w:hAnsi="Arial"/>
          <w:sz w:val="18"/>
          <w:szCs w:val="18"/>
          <w:color w:val="auto"/>
        </w:rPr>
      </w:pPr>
    </w:p>
    <w:p>
      <w:pPr>
        <w:ind w:left="1200" w:hanging="325"/>
        <w:spacing w:after="0" w:line="259" w:lineRule="auto"/>
        <w:tabs>
          <w:tab w:leader="none" w:pos="11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1" w:lineRule="exact"/>
        <w:rPr>
          <w:rFonts w:ascii="Arial" w:cs="Arial" w:eastAsia="Arial" w:hAnsi="Arial"/>
          <w:sz w:val="18"/>
          <w:szCs w:val="18"/>
          <w:color w:val="auto"/>
        </w:rPr>
      </w:pPr>
    </w:p>
    <w:p>
      <w:pPr>
        <w:ind w:left="1200" w:hanging="325"/>
        <w:spacing w:after="0" w:line="300" w:lineRule="auto"/>
        <w:tabs>
          <w:tab w:leader="none" w:pos="119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1" w:lineRule="exact"/>
        <w:rPr>
          <w:rFonts w:ascii="Arial" w:cs="Arial" w:eastAsia="Arial" w:hAnsi="Arial"/>
          <w:sz w:val="16"/>
          <w:szCs w:val="16"/>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into our operations;</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system optionality and accretion associated with acquisitions;</w:t>
      </w:r>
    </w:p>
    <w:p>
      <w:pPr>
        <w:spacing w:after="0" w:line="30"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investments in joint ventures;</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conditions impacting the timing and amount of common units repurchased under our common unit repurchase program;</w:t>
      </w:r>
    </w:p>
    <w:p>
      <w:pPr>
        <w:spacing w:after="0" w:line="30"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left="1180" w:hanging="305"/>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by Diamondback under our commercial agreements;</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w:t>
      </w:r>
    </w:p>
    <w:p>
      <w:pPr>
        <w:spacing w:after="0" w:line="30" w:lineRule="exact"/>
        <w:rPr>
          <w:rFonts w:ascii="Arial" w:cs="Arial" w:eastAsia="Arial" w:hAnsi="Arial"/>
          <w:sz w:val="18"/>
          <w:szCs w:val="18"/>
          <w:color w:val="auto"/>
        </w:rPr>
      </w:pPr>
    </w:p>
    <w:p>
      <w:pPr>
        <w:ind w:left="1180" w:hanging="305"/>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43" w:lineRule="exact"/>
        <w:rPr>
          <w:rFonts w:ascii="Arial" w:cs="Arial" w:eastAsia="Arial" w:hAnsi="Arial"/>
          <w:sz w:val="18"/>
          <w:szCs w:val="18"/>
          <w:color w:val="auto"/>
        </w:rPr>
      </w:pPr>
    </w:p>
    <w:p>
      <w:pPr>
        <w:ind w:left="1180" w:hanging="305"/>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this Annual Report on Form 10-K.</w:t>
      </w:r>
    </w:p>
    <w:p>
      <w:pPr>
        <w:spacing w:after="0" w:line="26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6"/>
          <w:szCs w:val="16"/>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document. All forward-looking statements speak only as of the date of this document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8"/>
          <w:szCs w:val="18"/>
          <w:i w:val="1"/>
          <w:iCs w:val="1"/>
          <w:color w:val="auto"/>
        </w:rPr>
        <w:t>References in this Annual Report to (i) “Rattler,” “the Partnership,” “our Partnership,” “we,” “our,” “us” or like terms refer to Rattler Midstream LP individually and collectively with its subsidiary, Rattler Midstream Operating LLC, as the context requires, (ii) “our General Partner” refers to Rattler Midstream GP LLC, our General Partner and a wholly owned subsidiary of Diamondback, (iii) the “Holding Company” or “HoldCo” refer to Rattler Holdings LLC, (iv) the “Operating Company” refer to Rattler Midstream Operating LLC, and (v) “Diamondback” refers collectively to Diamondback Energy, Inc. and its subsidiaries other than the Partnership and its subsidiaries.</w:t>
      </w:r>
    </w:p>
    <w:p>
      <w:pPr>
        <w:spacing w:after="0" w:line="21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6"/>
          <w:szCs w:val="16"/>
          <w:b w:val="1"/>
          <w:bCs w:val="1"/>
          <w:color w:val="auto"/>
        </w:rPr>
        <w:t>BUSINESS AND PROPERTIES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are a publicly traded Delaware limited partnership formed by Diamondback to own, operate, develop and acquire midstream and energy-related infrastructure assets in the Midland and Delaware Basins of the Permian Basin, one of the most prolific oil producing areas in the world. We have elected to be treated as a corporation for U.S. federal income tax purposes.</w:t>
      </w:r>
    </w:p>
    <w:p>
      <w:pPr>
        <w:spacing w:after="0" w:line="21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On December 22, 2021, we completed an internal reorganization, which we refer to as the Reorganization, including the contribution, which we refer to as the Contribution, of 100% of the limited liability company interests we held in the Operating Company to the Holding Company, our newly-formed, wholly-owned subsidiary. As a result of the Contribution, the Holding Company was admitted as a member of the Operating Company, and replaced us as the managing member of the Operating Company.</w:t>
      </w:r>
    </w:p>
    <w:p>
      <w:pPr>
        <w:spacing w:after="0" w:line="21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operations are conducted through, and our operating assets are owned by, the Operating Company. As of December 31, 2021, the Holding Company directly owned a 26% membership interest and 100% of the sole managing membership interest in the Operating Company, while Diamondback owned a 74% economic, non-voting interest in the Operating Company. Our assets and operations are reported in one business segment. Effective in the first quarter of fiscal 2021, the Partnership determined the former real estate operations segment no longer met the criteria to be an operating segment due to a change in focus and the relative immateriality of the activity.</w:t>
      </w:r>
    </w:p>
    <w:p>
      <w:pPr>
        <w:spacing w:after="0" w:line="22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are Diamondback’s primary provider of water-related midstream services (including water sourcing and transportation and produced water gathering and disposal) and a significant provider of long-term crude oil gathering and, as such, are critical to its development plans. We have long-term acreage dedications, which we refer to as the Acreage Dedications, from Diamondback spanning approximately 450,000 gross acres on Diamondback’s core leasehold in the Permian (approximately 265,000 gross acres in the Midland Basin and approximately 185,000 gross acres in the Delaware Basin). We entered into commercial agreements with Diamondback in June 2018, effective as of January 1, 2018, that have initial terms ending in 2034.</w:t>
      </w:r>
    </w:p>
    <w:p>
      <w:pPr>
        <w:spacing w:after="0" w:line="191"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Our General Partner’s management team consists of members of the management team of Diamondback. We believe that our relationship with Diamondback and our common strategic and operational interests provide the optimal platform to execute our business plan and drive unitholder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2021 and 2022 Acquisitions and Divestitures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WTG Joint Venture Acquisition</w:t>
      </w:r>
    </w:p>
    <w:p>
      <w:pPr>
        <w:spacing w:after="0" w:line="228" w:lineRule="exact"/>
        <w:rPr>
          <w:sz w:val="20"/>
          <w:szCs w:val="20"/>
          <w:color w:val="auto"/>
        </w:rPr>
      </w:pPr>
    </w:p>
    <w:p>
      <w:pPr>
        <w:jc w:val="both"/>
        <w:ind w:firstLine="632"/>
        <w:spacing w:after="0" w:line="222" w:lineRule="auto"/>
        <w:rPr>
          <w:sz w:val="20"/>
          <w:szCs w:val="20"/>
          <w:color w:val="auto"/>
        </w:rPr>
      </w:pPr>
      <w:r>
        <w:rPr>
          <w:rFonts w:ascii="Arial" w:cs="Arial" w:eastAsia="Arial" w:hAnsi="Arial"/>
          <w:sz w:val="18"/>
          <w:szCs w:val="18"/>
          <w:color w:val="auto"/>
        </w:rPr>
        <w:t>On October 5, 2021, we and a private affiliate of an investment fund formed Remuda Midstream Holdings LLC, which we refer to as the WTG joint venture. The Operating Company invested approximately $104.0 million in cash to acquire a 25% interest in the WTG joint venture, which then completed an acquisition of a majority interest in WTG Midstream LLC, or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Drop Down Transaction</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On December 1, 2021, we acquired certain water midstream assets from Diamondback and certain of its subsidiaries for $160.0 million, including closing adjustments, in cash in a drop down transaction that we refer to as the Drop Down. We funded the transaction with borrowings under the Operating Company’s revolving credit facility. The Drop Down was accounted for as a transaction between entities under common control, with assets recognized at Diamondback’s historical carrying value.</w:t>
      </w:r>
    </w:p>
    <w:p>
      <w:pPr>
        <w:spacing w:after="0" w:line="21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Drop Down assets include nine active saltwater disposal injection wells with 330 MBbl/d of capacity, seven produced water recycling and storage facilities, 20 fresh water pits and approximately 4,000 acres of fee surface. Also included are 55 miles of produced water gathering pipeline and 18 miles of sourced water gathering pipeline.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BANGL Joint Venture Acquisition</w:t>
      </w:r>
    </w:p>
    <w:p>
      <w:pPr>
        <w:spacing w:after="0" w:line="228" w:lineRule="exact"/>
        <w:rPr>
          <w:sz w:val="20"/>
          <w:szCs w:val="20"/>
          <w:color w:val="auto"/>
        </w:rPr>
      </w:pPr>
    </w:p>
    <w:p>
      <w:pPr>
        <w:jc w:val="both"/>
        <w:ind w:firstLine="632"/>
        <w:spacing w:after="0" w:line="265" w:lineRule="auto"/>
        <w:rPr>
          <w:sz w:val="20"/>
          <w:szCs w:val="20"/>
          <w:color w:val="auto"/>
        </w:rPr>
      </w:pPr>
      <w:r>
        <w:rPr>
          <w:rFonts w:ascii="Arial" w:cs="Arial" w:eastAsia="Arial" w:hAnsi="Arial"/>
          <w:sz w:val="16"/>
          <w:szCs w:val="16"/>
          <w:color w:val="auto"/>
        </w:rPr>
        <w:t>On January 19, 2022, we invested approximately $22.2 million in cash to acquire a 10% interest in BANGL, LLC, which we refer to as the BANGL joint venture. The BANGL pipeline, which began full commercial service in the fourth quarter of 2021, provides NGL takeaway capacity from MPLX and WTG gas processing plants in the Permian Basin to the NGL fractionation hub in Sweeny, Texas and has expansion capacity of up to 300,000 Bbl/d.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Amarillo Rattler Divestiture</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On April 30, 2021, we and our joint venture partner, Amarillo Midstream, LLC, each sold our respective 50% interests in Amarillo Rattler, LLC, which we refer to as Amarillo Rattler, to EnLink Midstream Operating, LP. Net of transaction expenses and working capital adjustments, we received $23.5 million at closing. An incremental $5.0 million is payable to us in April 2022, and we could receive up to $7.5 million in total contingent earn-out payments from 2023 to 2025.</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Real Estate Divestiture</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On June 28, 2021, we closed on the sale of one of our real estate properties located in Midland, Texas for proceeds of $9.1 million, including closing adjustments, which resulted in a loss on disposal of $0.4 million.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Pecos County Gas Gathering Divestiture</w:t>
      </w:r>
    </w:p>
    <w:p>
      <w:pPr>
        <w:spacing w:after="0" w:line="2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6"/>
          <w:szCs w:val="16"/>
          <w:color w:val="auto"/>
        </w:rPr>
        <w:t>On November 1, 2021, we completed the sale of substantially all of our natural gas gathering assets to Brazos Delaware Gas, LLC, an affiliate of Brazos Midstream, for aggregate total gross potential consideration of $93.0 million, consisting of (i) $83.0 million paid at closing, after customary closing adjustments, (ii) a $5.0 million contingent payment due in 2023 if the aggregate actual deliveries of gas volumes into the gas gathering system by and/or on behalf of Diamondback and its affiliates exceed certain specified thresholds during 2022, and (iii) a $5.0 million contingent payment due in 2024 if the aggregate actual deliveries of gas volumes into the gas gathering system by and/or on behalf of Diamondback and its affiliates exceed certain specified thresholds during 2022 and 2023. The contingent payments will be recorded if and when they become realizable.</w:t>
      </w:r>
    </w:p>
    <w:p>
      <w:pPr>
        <w:spacing w:after="0" w:line="207"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16—</w:t>
      </w:r>
      <w:hyperlink w:anchor="page98">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consolidated financial statements included elsewhere in this Annual Report for further discussion of these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w:t>
      </w:r>
    </w:p>
    <w:p>
      <w:pPr>
        <w:spacing w:after="0" w:line="24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As of December 31, 2021, we own and operate 866 miles of crude oil, sourced water and produced water gathering pipelines on acreage that overlays Diamondback’s core Midland and Delaware Basin development areas. Our water system obtains, stores and distributes sourced water for use in drilling and completion operations and collects flowback and produced water, which we refer to collectively as produced water, for recycling and disposal. Our oil gathering systems transport oil from the infield production batteries to intermediary pipelines. Additionally, we own equity interests in three long-haul crude oil pipelines and one NGL pipeline that run from the Permian to the Texas Gulf Coast. We also own equity interests in third-party operated gathering systems and processing facilities supported by commercial agreements, including acreage dedications with Diamondback and other operators.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transportation of water and hydrocarbon volumes away from the producing wellhead is paramount to ensuring the efficient operations of a crude oil or natural gas well. To facilitate this transportation, our midstream infrastructure includes a network of gathering pipelines that collect and transport crude oil, sourced water and produced water from Diamondback’s operations in the Midland and Delaware Basins. These assets are predominately located in Pecos, Reeves, Ward, Loving, Midland, Howard, Andrews, Martin and Glasscock Counties.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regarding our gathering, compression and transportation system as of December 31, 2021:</w:t>
      </w:r>
    </w:p>
    <w:p>
      <w:pPr>
        <w:sectPr>
          <w:pgSz w:w="11900" w:h="16838" w:orient="portrait"/>
          <w:cols w:equalWidth="0" w:num="1">
            <w:col w:w="11240"/>
          </w:cols>
          <w:pgMar w:left="320" w:top="121" w:right="339" w:bottom="1440" w:gutter="0" w:footer="0" w:header="0"/>
        </w:sect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(miles)</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Pipeline Infrastructure Assets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Delaware Basin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Midland Basin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Permian Total</w:t>
      </w:r>
    </w:p>
    <w:p>
      <w:pPr>
        <w:spacing w:after="0" w:line="44" w:lineRule="exact"/>
        <w:rPr>
          <w:sz w:val="20"/>
          <w:szCs w:val="20"/>
          <w:color w:val="auto"/>
        </w:rPr>
      </w:pPr>
    </w:p>
    <w:p>
      <w:pPr>
        <w:sectPr>
          <w:pgSz w:w="11900" w:h="16838" w:orient="portrait"/>
          <w:cols w:equalWidth="0" w:num="4">
            <w:col w:w="3900" w:space="720"/>
            <w:col w:w="2780" w:space="720"/>
            <w:col w:w="1060" w:space="720"/>
            <w:col w:w="134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4"/>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ind w:left="893"/>
              <w:spacing w:after="0"/>
              <w:rPr>
                <w:sz w:val="20"/>
                <w:szCs w:val="20"/>
                <w:color w:val="auto"/>
              </w:rPr>
            </w:pPr>
            <w:r>
              <w:rPr>
                <w:rFonts w:ascii="Arial" w:cs="Arial" w:eastAsia="Arial" w:hAnsi="Arial"/>
                <w:sz w:val="18"/>
                <w:szCs w:val="18"/>
                <w:color w:val="auto"/>
                <w:w w:val="86"/>
              </w:rPr>
              <w:t>159</w:t>
            </w: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Produced water</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left="893"/>
              <w:spacing w:after="0"/>
              <w:rPr>
                <w:sz w:val="20"/>
                <w:szCs w:val="20"/>
                <w:color w:val="auto"/>
              </w:rPr>
            </w:pPr>
            <w:r>
              <w:rPr>
                <w:rFonts w:ascii="Arial" w:cs="Arial" w:eastAsia="Arial" w:hAnsi="Arial"/>
                <w:sz w:val="18"/>
                <w:szCs w:val="18"/>
                <w:color w:val="auto"/>
                <w:w w:val="86"/>
              </w:rPr>
              <w:t>583</w:t>
            </w:r>
          </w:p>
        </w:tc>
      </w:tr>
      <w:tr>
        <w:trPr>
          <w:trHeight w:val="22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Sourced water</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93"/>
              <w:spacing w:after="0"/>
              <w:rPr>
                <w:sz w:val="20"/>
                <w:szCs w:val="20"/>
                <w:color w:val="auto"/>
              </w:rPr>
            </w:pPr>
            <w:r>
              <w:rPr>
                <w:rFonts w:ascii="Arial" w:cs="Arial" w:eastAsia="Arial" w:hAnsi="Arial"/>
                <w:sz w:val="18"/>
                <w:szCs w:val="18"/>
                <w:color w:val="auto"/>
                <w:w w:val="86"/>
              </w:rPr>
              <w:t>124</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893"/>
              <w:spacing w:after="0"/>
              <w:rPr>
                <w:sz w:val="20"/>
                <w:szCs w:val="20"/>
                <w:color w:val="auto"/>
              </w:rPr>
            </w:pPr>
            <w:r>
              <w:rPr>
                <w:rFonts w:ascii="Arial" w:cs="Arial" w:eastAsia="Arial" w:hAnsi="Arial"/>
                <w:sz w:val="18"/>
                <w:szCs w:val="18"/>
                <w:color w:val="auto"/>
                <w:w w:val="86"/>
              </w:rPr>
              <w:t>866</w:t>
            </w:r>
          </w:p>
        </w:tc>
      </w:tr>
      <w:tr>
        <w:trPr>
          <w:trHeight w:val="20"/>
        </w:trPr>
        <w:tc>
          <w:tcPr>
            <w:tcW w:w="4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59"/>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(capacity/capability)</w:t>
            </w:r>
            <w:r>
              <w:rPr>
                <w:rFonts w:ascii="Arial" w:cs="Arial" w:eastAsia="Arial" w:hAnsi="Arial"/>
                <w:sz w:val="20"/>
                <w:szCs w:val="20"/>
                <w:b w:val="1"/>
                <w:bCs w:val="1"/>
                <w:color w:val="auto"/>
                <w:vertAlign w:val="superscript"/>
              </w:rPr>
              <w:t>(1)</w:t>
            </w: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Delaware Basin</w:t>
            </w:r>
          </w:p>
        </w:tc>
        <w:tc>
          <w:tcPr>
            <w:tcW w:w="1740" w:type="dxa"/>
            <w:vAlign w:val="bottom"/>
            <w:gridSpan w:val="4"/>
          </w:tcPr>
          <w:p>
            <w:pPr>
              <w:ind w:left="320"/>
              <w:spacing w:after="0"/>
              <w:rPr>
                <w:sz w:val="20"/>
                <w:szCs w:val="20"/>
                <w:color w:val="auto"/>
              </w:rPr>
            </w:pPr>
            <w:r>
              <w:rPr>
                <w:rFonts w:ascii="Arial" w:cs="Arial" w:eastAsia="Arial" w:hAnsi="Arial"/>
                <w:sz w:val="16"/>
                <w:szCs w:val="16"/>
                <w:b w:val="1"/>
                <w:bCs w:val="1"/>
                <w:color w:val="auto"/>
              </w:rPr>
              <w:t>Midland Basin</w:t>
            </w:r>
          </w:p>
        </w:tc>
        <w:tc>
          <w:tcPr>
            <w:tcW w:w="1740" w:type="dxa"/>
            <w:vAlign w:val="bottom"/>
            <w:gridSpan w:val="4"/>
          </w:tcPr>
          <w:p>
            <w:pPr>
              <w:ind w:left="320"/>
              <w:spacing w:after="0"/>
              <w:rPr>
                <w:sz w:val="20"/>
                <w:szCs w:val="20"/>
                <w:color w:val="auto"/>
              </w:rPr>
            </w:pPr>
            <w:r>
              <w:rPr>
                <w:rFonts w:ascii="Arial" w:cs="Arial" w:eastAsia="Arial" w:hAnsi="Arial"/>
                <w:sz w:val="16"/>
                <w:szCs w:val="16"/>
                <w:b w:val="1"/>
                <w:bCs w:val="1"/>
                <w:color w:val="auto"/>
              </w:rPr>
              <w:t>Permian Total</w:t>
            </w:r>
          </w:p>
        </w:tc>
        <w:tc>
          <w:tcPr>
            <w:tcW w:w="1400" w:type="dxa"/>
            <w:vAlign w:val="bottom"/>
          </w:tcPr>
          <w:p>
            <w:pPr>
              <w:ind w:left="340"/>
              <w:spacing w:after="0"/>
              <w:rPr>
                <w:sz w:val="20"/>
                <w:szCs w:val="20"/>
                <w:color w:val="auto"/>
              </w:rPr>
            </w:pPr>
            <w:r>
              <w:rPr>
                <w:rFonts w:ascii="Arial" w:cs="Arial" w:eastAsia="Arial" w:hAnsi="Arial"/>
                <w:sz w:val="16"/>
                <w:szCs w:val="16"/>
                <w:b w:val="1"/>
                <w:bCs w:val="1"/>
                <w:color w:val="auto"/>
              </w:rPr>
              <w:t>Utilization</w:t>
            </w:r>
          </w:p>
        </w:tc>
      </w:tr>
      <w:tr>
        <w:trPr>
          <w:trHeight w:val="217"/>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6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240,000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305,000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893"/>
              <w:spacing w:after="0"/>
              <w:rPr>
                <w:sz w:val="20"/>
                <w:szCs w:val="20"/>
                <w:color w:val="auto"/>
              </w:rPr>
            </w:pPr>
            <w:r>
              <w:rPr>
                <w:rFonts w:ascii="Arial" w:cs="Arial" w:eastAsia="Arial" w:hAnsi="Arial"/>
                <w:sz w:val="18"/>
                <w:szCs w:val="18"/>
                <w:color w:val="auto"/>
                <w:w w:val="92"/>
              </w:rPr>
              <w:t>27 %</w:t>
            </w: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19"/>
                <w:szCs w:val="19"/>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2,134,000</w:t>
            </w:r>
          </w:p>
        </w:tc>
        <w:tc>
          <w:tcPr>
            <w:tcW w:w="100" w:type="dxa"/>
            <w:vAlign w:val="bottom"/>
          </w:tcPr>
          <w:p>
            <w:pPr>
              <w:spacing w:after="0"/>
              <w:rPr>
                <w:sz w:val="19"/>
                <w:szCs w:val="19"/>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3,464,000</w:t>
            </w:r>
          </w:p>
        </w:tc>
        <w:tc>
          <w:tcPr>
            <w:tcW w:w="100" w:type="dxa"/>
            <w:vAlign w:val="bottom"/>
          </w:tcPr>
          <w:p>
            <w:pPr>
              <w:spacing w:after="0"/>
              <w:rPr>
                <w:sz w:val="19"/>
                <w:szCs w:val="19"/>
                <w:color w:val="auto"/>
              </w:rPr>
            </w:pPr>
          </w:p>
        </w:tc>
        <w:tc>
          <w:tcPr>
            <w:tcW w:w="1400" w:type="dxa"/>
            <w:vAlign w:val="bottom"/>
          </w:tcPr>
          <w:p>
            <w:pPr>
              <w:jc w:val="center"/>
              <w:ind w:left="893"/>
              <w:spacing w:after="0"/>
              <w:rPr>
                <w:sz w:val="20"/>
                <w:szCs w:val="20"/>
                <w:color w:val="auto"/>
              </w:rPr>
            </w:pPr>
            <w:r>
              <w:rPr>
                <w:rFonts w:ascii="Arial" w:cs="Arial" w:eastAsia="Arial" w:hAnsi="Arial"/>
                <w:sz w:val="18"/>
                <w:szCs w:val="18"/>
                <w:color w:val="auto"/>
                <w:w w:val="92"/>
              </w:rPr>
              <w:t>24 %</w:t>
            </w:r>
          </w:p>
        </w:tc>
      </w:tr>
      <w:tr>
        <w:trPr>
          <w:trHeight w:val="22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gathering (Bbl/d)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544,000</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664,000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2"/>
              </w:rPr>
              <w:t>43 %</w:t>
            </w:r>
          </w:p>
        </w:tc>
      </w:tr>
    </w:tbl>
    <w:p>
      <w:pPr>
        <w:spacing w:after="0" w:line="93" w:lineRule="exact"/>
        <w:rPr>
          <w:sz w:val="20"/>
          <w:szCs w:val="20"/>
          <w:color w:val="auto"/>
        </w:rPr>
      </w:pPr>
    </w:p>
    <w:p>
      <w:pPr>
        <w:ind w:left="440" w:hanging="39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any assets of our equity method investment joint ventures.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regarding our throughput volumes for each of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1660" w:type="dxa"/>
            <w:vAlign w:val="bottom"/>
            <w:tcBorders>
              <w:bottom w:val="single" w:sz="8" w:color="auto"/>
            </w:tcBorders>
          </w:tcPr>
          <w:p>
            <w:pPr>
              <w:spacing w:after="0"/>
              <w:rPr>
                <w:sz w:val="17"/>
                <w:szCs w:val="17"/>
                <w:color w:val="auto"/>
              </w:rPr>
            </w:pPr>
          </w:p>
        </w:tc>
      </w:tr>
      <w:tr>
        <w:trPr>
          <w:trHeight w:val="211"/>
        </w:trPr>
        <w:tc>
          <w:tcPr>
            <w:tcW w:w="606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b w:val="1"/>
                <w:bCs w:val="1"/>
                <w:color w:val="auto"/>
              </w:rPr>
              <w:t>(throughput)</w:t>
            </w:r>
            <w:r>
              <w:rPr>
                <w:rFonts w:ascii="Arial" w:cs="Arial" w:eastAsia="Arial" w:hAnsi="Arial"/>
                <w:sz w:val="20"/>
                <w:szCs w:val="20"/>
                <w:b w:val="1"/>
                <w:bCs w:val="1"/>
                <w:color w:val="auto"/>
                <w:vertAlign w:val="superscript"/>
              </w:rPr>
              <w:t>(1)</w:t>
            </w: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2019</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79,071</w:t>
            </w:r>
          </w:p>
        </w:tc>
        <w:tc>
          <w:tcPr>
            <w:tcW w:w="1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92,056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85,164</w:t>
            </w: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Natural gas gathering (MMBtu/d)</w:t>
            </w:r>
          </w:p>
        </w:tc>
        <w:tc>
          <w:tcPr>
            <w:tcW w:w="1660" w:type="dxa"/>
            <w:vAlign w:val="bottom"/>
          </w:tcPr>
          <w:p>
            <w:pPr>
              <w:jc w:val="right"/>
              <w:spacing w:after="0"/>
              <w:rPr>
                <w:sz w:val="20"/>
                <w:szCs w:val="20"/>
                <w:color w:val="auto"/>
              </w:rPr>
            </w:pPr>
            <w:r>
              <w:rPr>
                <w:rFonts w:ascii="Arial" w:cs="Arial" w:eastAsia="Arial" w:hAnsi="Arial"/>
                <w:sz w:val="18"/>
                <w:szCs w:val="18"/>
                <w:color w:val="auto"/>
              </w:rPr>
              <w:t>112,130</w:t>
            </w:r>
          </w:p>
        </w:tc>
        <w:tc>
          <w:tcPr>
            <w:tcW w:w="1760" w:type="dxa"/>
            <w:vAlign w:val="bottom"/>
            <w:gridSpan w:val="2"/>
          </w:tcPr>
          <w:p>
            <w:pPr>
              <w:jc w:val="right"/>
              <w:ind w:right="1"/>
              <w:spacing w:after="0"/>
              <w:rPr>
                <w:sz w:val="20"/>
                <w:szCs w:val="20"/>
                <w:color w:val="auto"/>
              </w:rPr>
            </w:pPr>
            <w:r>
              <w:rPr>
                <w:rFonts w:ascii="Arial" w:cs="Arial" w:eastAsia="Arial" w:hAnsi="Arial"/>
                <w:sz w:val="18"/>
                <w:szCs w:val="18"/>
                <w:color w:val="auto"/>
              </w:rPr>
              <w:t>121,637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85,283</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783,259</w:t>
            </w:r>
          </w:p>
        </w:tc>
        <w:tc>
          <w:tcPr>
            <w:tcW w:w="1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821,543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806,078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Sourced water gathering (Bbl/d)</w:t>
            </w:r>
          </w:p>
        </w:tc>
        <w:tc>
          <w:tcPr>
            <w:tcW w:w="1660" w:type="dxa"/>
            <w:vAlign w:val="bottom"/>
          </w:tcPr>
          <w:p>
            <w:pPr>
              <w:jc w:val="right"/>
              <w:spacing w:after="0"/>
              <w:rPr>
                <w:sz w:val="20"/>
                <w:szCs w:val="20"/>
                <w:color w:val="auto"/>
              </w:rPr>
            </w:pPr>
            <w:r>
              <w:rPr>
                <w:rFonts w:ascii="Arial" w:cs="Arial" w:eastAsia="Arial" w:hAnsi="Arial"/>
                <w:sz w:val="18"/>
                <w:szCs w:val="18"/>
                <w:color w:val="auto"/>
              </w:rPr>
              <w:t>268,259</w:t>
            </w:r>
          </w:p>
        </w:tc>
        <w:tc>
          <w:tcPr>
            <w:tcW w:w="1760" w:type="dxa"/>
            <w:vAlign w:val="bottom"/>
            <w:gridSpan w:val="2"/>
          </w:tcPr>
          <w:p>
            <w:pPr>
              <w:jc w:val="right"/>
              <w:ind w:right="1"/>
              <w:spacing w:after="0"/>
              <w:rPr>
                <w:sz w:val="20"/>
                <w:szCs w:val="20"/>
                <w:color w:val="auto"/>
              </w:rPr>
            </w:pPr>
            <w:r>
              <w:rPr>
                <w:rFonts w:ascii="Arial" w:cs="Arial" w:eastAsia="Arial" w:hAnsi="Arial"/>
                <w:sz w:val="18"/>
                <w:szCs w:val="18"/>
                <w:color w:val="auto"/>
              </w:rPr>
              <w:t>253,907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415,939</w:t>
            </w:r>
          </w:p>
        </w:tc>
      </w:tr>
    </w:tbl>
    <w:p>
      <w:pPr>
        <w:spacing w:after="0" w:line="81" w:lineRule="exact"/>
        <w:rPr>
          <w:sz w:val="20"/>
          <w:szCs w:val="20"/>
          <w:color w:val="auto"/>
        </w:rPr>
      </w:pPr>
    </w:p>
    <w:p>
      <w:pPr>
        <w:ind w:left="440" w:hanging="395"/>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any volumes from our equity method investment joint ventures.</w:t>
      </w:r>
    </w:p>
    <w:p>
      <w:pPr>
        <w:spacing w:after="0" w:line="24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Crude oil gathering and transportation assets</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of December 31, 2021, excluding the assets of our joint ventures discussed below, our crude oil gathering system consists of (i) 159 miles of crude oil pipelines, which have 305,000 Bbl/d of crude oil throughput capacity and 118,000 Bbl of crude oil storage. Our crude oil gathering and transportation system is purpose built with firm capacity on intermediary pipelines providing connections to long-haul pipelines that terminate on the Texas Gulf Coast. Our crude oil gathered volumes, excluding volumes gathered by our joint ventures, averaged 79 MBbl/d for the year ended December 31, 2021.</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Produced water gathering and disposal assets</w:t>
      </w:r>
    </w:p>
    <w:p>
      <w:pPr>
        <w:spacing w:after="0" w:line="241"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Crude oil and natural gas cannot be produced without significant produced water transport and disposal capacity given the high water volumes that accompany the hydrocarbons. At the well site, crude oil and produced water are separated to extract the crude oil for sale and the produced water for proper disposal, treatment and recycling. We own strategically located produced water gathering pipeline systems spanning a total of 583 miles that connect the overwhelming majority of Diamondback operated crude oil and natural gas wells to our produced water disposal well sites. As of December 31, 2021, we have a total of 141 produced water disposal wells with an aggregate capacity of 3.5 MMBbl/d located across the Midland and Delaware Basins. Diamondback has instituted a program in its operations to use treated water for completion operations, and 23% of the sourced water volumes sold by Rattler were recycled produced water during the year ended December 31, 2021. We have and expect to continue to realize increased margins for produced water disposal as a result of this recycling program.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Water sourcing and distribution assets</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water sourcing and distribution system, with storage capacity of 75 MMBbl/d, is critical to Diamondback’s completion operations, and obtains, stores and distributes water from sourced water wells from the Capitan Reef formation, Edwards-Trinity, Pecos Alluvium and Rustler aquifers in the Permian. Our sourced water system consists of a combination of permanent buried pipelines, portable surface pipelines, produced water treatment facilities and sourced water storage facilities, as well as pumping stations to transport the sourced water throughout the pipeline network. Having access to water sources is an important element of the hydraulic fracturing process.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 long-haul crude oil and NGL pipelines</w:t>
      </w:r>
    </w:p>
    <w:p>
      <w:pPr>
        <w:spacing w:after="0" w:line="241"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We own a 10% equity interest in each of EPIC Crude Holdings LP, Gray Oak Pipeline, LLC, and BANGL, LLC, and a 4% equity interest in Wink to Webster Pipeline LLC. We refer to these joint ventures as the EPIC, Gray Oak, BANGL and Wink to Webster joint ventures, respectively. Our equity interests in these pipeline joint ventures are expected to provide us with a steady cash flow stream from long-haul crude oil and NGL transportation.</w:t>
      </w:r>
    </w:p>
    <w:p>
      <w:pPr>
        <w:spacing w:after="0" w:line="18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EPIC, which began full operations in April 2020, owns and operates a long-haul crude oil pipeline from the Permian and the Eagle Ford Shale to Corpus Christi, Texas. This pipeline, which we refer to as the EPIC pipeline, is capable of transporting approximately 600,000 Bbl/d which, with the installation of additional pumps and storage, can be increased to approximately 1,000,000 Bbl/d.</w:t>
      </w:r>
    </w:p>
    <w:p>
      <w:pPr>
        <w:spacing w:after="0" w:line="21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Gray Oak, which also began full operations in April 2020, owns and operates a long-haul crude oil pipeline from the Permian and the Eagle Ford Shale to points along the Texas Gulf Coast, including a marine terminal connection in Corpus Christi, Texas. This pipeline, which we refer to as the Gray Oak Pipeline, is capable of transporting approximately 900,000 Bbl/d.</w:t>
      </w:r>
    </w:p>
    <w:p>
      <w:pPr>
        <w:spacing w:after="0" w:line="215"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BANGL,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160"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Wink to Webster owns and operates a long-haul crude oil pipeline system with origin points at Wink and Midland in the Permian Basin and delivery points at multiple Houston area locations. The joint venture owns a 71% undivided joint interest in the main pipeline segment between Midland and Houston. The Wink to Webster pipeline’s main segment began interim service operation in the fourth quarter of 2020, and the joint venture is expected to begin full commercial operations in the first quarter of 2022. Upon completion, this pipeline, which we refer to as the Wink to Webster pipeline, will be capable of transporting approximately 1,500,000 Bbl/d.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 crude oil gathering system</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own a 60% equity interest in OMOG JV LLC, a joint venture that owns Reliance Gathering, LLC, which owns and operates an in-basin crude oil gathering and transportation system in the Northern Midland Basin underpinned by long-term transportation agreements. The crude oil gathering and transportation system includes approximately 245 miles of crude oil gathering and regional transportation pipelines and approximately 200,000 barrels of crude oil storage in Midland, Martin, Andrews and Ector Counties, Texas. We refer to this joint venture as the OMOG joint venture. Over 150,000 gross acres in the Northern Midland Basin are dedicated to the system under long-term, fixed-fee agreements, some of which benefit from minimum volume commitments.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 gas gathering and processing system</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own a 25% equity interest in the WTG joint venture, which owns a majority interest in WTG Midstream. WTG Midstream has assets primarily consisting of an interconnected gas gathering system and six major gas processing plants servicing the Midland Basin with 925 MMcf/d of total processing capacity with additional gas gathering and processing expansions planned.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47" w:lineRule="exact"/>
        <w:rPr>
          <w:sz w:val="20"/>
          <w:szCs w:val="20"/>
          <w:color w:val="auto"/>
        </w:rPr>
      </w:pPr>
    </w:p>
    <w:p>
      <w:pPr>
        <w:jc w:val="both"/>
        <w:ind w:firstLine="176"/>
        <w:spacing w:after="0" w:line="253" w:lineRule="auto"/>
        <w:rPr>
          <w:sz w:val="20"/>
          <w:szCs w:val="20"/>
          <w:color w:val="auto"/>
        </w:rPr>
      </w:pPr>
      <w:r>
        <w:rPr>
          <w:rFonts w:ascii="Arial" w:cs="Arial" w:eastAsia="Arial" w:hAnsi="Arial"/>
          <w:sz w:val="18"/>
          <w:szCs w:val="18"/>
          <w:color w:val="auto"/>
        </w:rPr>
        <w:t>As of December 31, 2021, our General Partner had a 100% general partner interest in us, and Diamondback owned no common units and beneficially owned all of our 107,815,152 outstanding Class B units, representing approximately 74% of our total units outstanding. Diamondback also owns and controls our General Partner.</w:t>
      </w:r>
    </w:p>
    <w:p>
      <w:pPr>
        <w:spacing w:after="0" w:line="215"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We believe Diamondback views our assets as an integral part of its strategy of remaining a premier, low-cost Permian operator. The fundamental role we play in Diamondback’s operational success allows us to capitalize on Diamondback’s expected Permian production and strong track record of accretive acquisitions. We plan to build our midstream infrastructure in concert with and in advance of Diamondback’s expected production in order to allow Diamondback the operational flexibility to execute on its development plan. We believe that Diamondback will continue to be a low cost producer as a result of its management expertise, premier asset base with a deep inventory of economic potential horizontal drilling locations, well capitalized balance sheet and operational execution track record. As such, we expect Diamondback’s consistent requirements for our midstream services, along with Rattler’s declining capital needs, will drive free cash flow growth in the future. Our anticipated capital expenditures are mainly associated with building out infield gathering and capacity and contributions to equity method joint ventures, which are expected to be minimal going forward as the majority of projects are at or near their full length and capacity. Our visibility into Diamondback’s drilling and production plans will allow us to utilize a synchronized midstream development plan that optimizes capital spending and free cash flow generation.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objective is to increase unitholder value by executing the following business strategies:</w:t>
      </w:r>
    </w:p>
    <w:p>
      <w:pPr>
        <w:spacing w:after="0" w:line="241" w:lineRule="exact"/>
        <w:rPr>
          <w:sz w:val="20"/>
          <w:szCs w:val="20"/>
          <w:color w:val="auto"/>
        </w:rPr>
      </w:pPr>
    </w:p>
    <w:p>
      <w:pPr>
        <w:jc w:val="both"/>
        <w:ind w:left="960" w:hanging="322"/>
        <w:spacing w:after="0" w:line="284" w:lineRule="auto"/>
        <w:tabs>
          <w:tab w:leader="none" w:pos="9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Serve as a significant provider of midstream services for Diamondback. </w:t>
      </w:r>
      <w:r>
        <w:rPr>
          <w:rFonts w:ascii="Arial" w:cs="Arial" w:eastAsia="Arial" w:hAnsi="Arial"/>
          <w:sz w:val="16"/>
          <w:szCs w:val="16"/>
          <w:color w:val="auto"/>
        </w:rPr>
        <w:t>Pursuant to the Acreage Dedications, we will continue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sourced water handling and gathering, produced water handling and disposal and crude oil transportation and gathering services for Diamondback until 2034, and extended thereafter on a yearly basis unless terminated by a party. We expect that Diamondback’s development of its core areas, and therefore its need for midstream services, will continue on the Acreage Dedications and we intend to utilize this relationship with Diamondback to drive free cash flow. Significant past investment in building or acquiring our midstream assets will allow us to support Diamondback’s expected production volumes, even as our expected operating capital expenditures decline.</w:t>
      </w:r>
    </w:p>
    <w:p>
      <w:pPr>
        <w:spacing w:after="0" w:line="195" w:lineRule="exact"/>
        <w:rPr>
          <w:rFonts w:ascii="Arial" w:cs="Arial" w:eastAsia="Arial" w:hAnsi="Arial"/>
          <w:sz w:val="16"/>
          <w:szCs w:val="16"/>
          <w:b w:val="1"/>
          <w:bCs w:val="1"/>
          <w:i w:val="1"/>
          <w:iCs w:val="1"/>
          <w:color w:val="auto"/>
        </w:rPr>
      </w:pPr>
    </w:p>
    <w:p>
      <w:pPr>
        <w:jc w:val="both"/>
        <w:ind w:left="960" w:hanging="322"/>
        <w:spacing w:after="0" w:line="284" w:lineRule="auto"/>
        <w:tabs>
          <w:tab w:leader="none" w:pos="9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Focus on cash flow generation to fund our capital plan, support our distribution policy and maximize unitholder returns. </w:t>
      </w:r>
      <w:r>
        <w:rPr>
          <w:rFonts w:ascii="Arial" w:cs="Arial" w:eastAsia="Arial" w:hAnsi="Arial"/>
          <w:sz w:val="16"/>
          <w:szCs w:val="16"/>
          <w:color w:val="auto"/>
        </w:rPr>
        <w:t>Our operations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underpinned by high-margin, stable cash flow as a result of our long-term, fixed-fee contracts with Diamondback. In addition, other than our equity commitments in connection with our joint ventures, all of which are at or near their full length and capacity and should have minimal capital contributions going forward, we expect to have low future operating capital expenditure requirements, which will allow us to generate free cash flow and make distribution payments to our common unitholders while limiting our reliance on the capital markets. A core component of our strategy is to maximize free cash flow while maintaining a conservative debt to equity ratio.</w:t>
      </w:r>
    </w:p>
    <w:p>
      <w:pPr>
        <w:spacing w:after="0" w:line="195" w:lineRule="exact"/>
        <w:rPr>
          <w:rFonts w:ascii="Arial" w:cs="Arial" w:eastAsia="Arial" w:hAnsi="Arial"/>
          <w:sz w:val="16"/>
          <w:szCs w:val="16"/>
          <w:b w:val="1"/>
          <w:bCs w:val="1"/>
          <w:i w:val="1"/>
          <w:iCs w:val="1"/>
          <w:color w:val="auto"/>
        </w:rPr>
      </w:pPr>
    </w:p>
    <w:p>
      <w:pPr>
        <w:jc w:val="both"/>
        <w:ind w:left="960" w:hanging="322"/>
        <w:spacing w:after="0" w:line="291" w:lineRule="auto"/>
        <w:tabs>
          <w:tab w:leader="none" w:pos="9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Emphasize providing midstream services under long-term, fixed-fee contracts to avoid direct commodity price exposure, mitigate volatility and enhance stability of our cash flow. </w:t>
      </w:r>
      <w:r>
        <w:rPr>
          <w:rFonts w:ascii="Arial" w:cs="Arial" w:eastAsia="Arial" w:hAnsi="Arial"/>
          <w:sz w:val="16"/>
          <w:szCs w:val="16"/>
          <w:color w:val="auto"/>
        </w:rPr>
        <w:t>Our commercial agreements with Diamondback are structured as long-term, fixed-fee contracts,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mitigates our direct exposure to commodity prices and enhances stability and predictability of our cash flow. We intend to pursue future opportunities that primarily utilize fixed-fee structures to insulate our cash flow from direct commodity price exposure.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 number of competitive strengths that we believe will help us successfully execute our business strategies, including:</w:t>
      </w:r>
    </w:p>
    <w:p>
      <w:pPr>
        <w:spacing w:after="0" w:line="241" w:lineRule="exact"/>
        <w:rPr>
          <w:sz w:val="20"/>
          <w:szCs w:val="20"/>
          <w:color w:val="auto"/>
        </w:rPr>
      </w:pPr>
    </w:p>
    <w:p>
      <w:pPr>
        <w:jc w:val="both"/>
        <w:ind w:left="960" w:hanging="322"/>
        <w:spacing w:after="0" w:line="287" w:lineRule="auto"/>
        <w:tabs>
          <w:tab w:leader="none" w:pos="9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Fundamental, strategic relationship with Diamondback. </w:t>
      </w:r>
      <w:r>
        <w:rPr>
          <w:rFonts w:ascii="Arial" w:cs="Arial" w:eastAsia="Arial" w:hAnsi="Arial"/>
          <w:sz w:val="16"/>
          <w:szCs w:val="16"/>
          <w:color w:val="auto"/>
        </w:rPr>
        <w:t>We believe our assets are integral to Diamondback’s strategy and we believe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fundamental role we play in Diamondback’s operational success allows us to capitalize on Diamondback’s expected Permian production. We plan to build our midstream infrastructure in concert with and in advance of Diamondback’s expected production in order to allow Diamondback the operational flexibility to execute on its development plan. Our visibility into Diamondback’s drilling and production plans allows us to utilize a synchronized midstream development plan that optimizes capital spending and free cash flow generation.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960" w:hanging="322"/>
        <w:spacing w:after="0" w:line="253"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with an extensive track record of value creation. </w:t>
      </w:r>
      <w:r>
        <w:rPr>
          <w:rFonts w:ascii="Arial" w:cs="Arial" w:eastAsia="Arial" w:hAnsi="Arial"/>
          <w:sz w:val="18"/>
          <w:szCs w:val="18"/>
          <w:color w:val="auto"/>
        </w:rPr>
        <w:t>The management team of our General Partner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from Diamondback and we believe their significant experience, successful track record and discipline in deploying capital at Diamondback distinguishes us from our peers and helps us deliver attractive unitholder returns.</w:t>
      </w:r>
    </w:p>
    <w:p>
      <w:pPr>
        <w:spacing w:after="0" w:line="228" w:lineRule="exact"/>
        <w:rPr>
          <w:rFonts w:ascii="Arial" w:cs="Arial" w:eastAsia="Arial" w:hAnsi="Arial"/>
          <w:sz w:val="18"/>
          <w:szCs w:val="18"/>
          <w:color w:val="auto"/>
        </w:rPr>
      </w:pPr>
    </w:p>
    <w:p>
      <w:pPr>
        <w:jc w:val="both"/>
        <w:ind w:left="960" w:hanging="322"/>
        <w:spacing w:after="0" w:line="248" w:lineRule="auto"/>
        <w:tabs>
          <w:tab w:leader="none" w:pos="9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Asset base located in the core of the Permian with highly visible underlying production. </w:t>
      </w:r>
      <w:r>
        <w:rPr>
          <w:rFonts w:ascii="Arial" w:cs="Arial" w:eastAsia="Arial" w:hAnsi="Arial"/>
          <w:sz w:val="18"/>
          <w:szCs w:val="18"/>
          <w:color w:val="auto"/>
        </w:rPr>
        <w:t>Our asset base is located in what we believe is the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Midland and Delaware Basins of the Permian and overlays Diamondback’s core development areas. These areas are characterized by high return single well economics that we believe are among the best in the Lower 48 and have a deep inventory of economic horizontal drilling locations. The close proximity of our assets to other leading exploration and production operators provide additional opportunities to execute third party contracts for midstream services.</w:t>
      </w:r>
    </w:p>
    <w:p>
      <w:pPr>
        <w:spacing w:after="0" w:line="221" w:lineRule="exact"/>
        <w:rPr>
          <w:rFonts w:ascii="Arial" w:cs="Arial" w:eastAsia="Arial" w:hAnsi="Arial"/>
          <w:sz w:val="18"/>
          <w:szCs w:val="18"/>
          <w:b w:val="1"/>
          <w:bCs w:val="1"/>
          <w:i w:val="1"/>
          <w:iCs w:val="1"/>
          <w:color w:val="auto"/>
        </w:rPr>
      </w:pPr>
    </w:p>
    <w:p>
      <w:pPr>
        <w:jc w:val="both"/>
        <w:ind w:left="960" w:hanging="322"/>
        <w:spacing w:after="0" w:line="283" w:lineRule="auto"/>
        <w:tabs>
          <w:tab w:leader="none" w:pos="9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Structural and strategic alignment with unitholders. </w:t>
      </w:r>
      <w:r>
        <w:rPr>
          <w:rFonts w:ascii="Arial" w:cs="Arial" w:eastAsia="Arial" w:hAnsi="Arial"/>
          <w:sz w:val="16"/>
          <w:szCs w:val="16"/>
          <w:color w:val="auto"/>
        </w:rPr>
        <w:t>We are focused on creating differentiated unitholder value and providing strong return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return of capital to unitholders. Through its ownership of Class B and common units in us and its ownership of membership interests in the Operating Company, Diamondback directly benefits if we grow free cash flow and distributions. We do not have incentive distribution rights or subordinated units, which we believe better aligns the interests of our unitholders with those of Diamondback. Additionally, we are structured as a partnership that elected to be treated as a corporation for tax purposes, which we believe increases stability and creates a more liquid trading market for our common units, given our access to a potentially broader unitholder base. We believe the preceding is a differentiator in the public midstream sector and provides the optimal platform to pursue a balanced plan for value creation that benefits all unitholders equally.</w:t>
      </w:r>
    </w:p>
    <w:p>
      <w:pPr>
        <w:spacing w:after="0" w:line="193" w:lineRule="exact"/>
        <w:rPr>
          <w:rFonts w:ascii="Arial" w:cs="Arial" w:eastAsia="Arial" w:hAnsi="Arial"/>
          <w:sz w:val="16"/>
          <w:szCs w:val="16"/>
          <w:color w:val="auto"/>
        </w:rPr>
      </w:pPr>
    </w:p>
    <w:p>
      <w:pPr>
        <w:jc w:val="both"/>
        <w:ind w:left="960" w:hanging="322"/>
        <w:spacing w:after="0" w:line="247"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High-margin business that generates significant, predictable free cash flow. </w:t>
      </w:r>
      <w:r>
        <w:rPr>
          <w:rFonts w:ascii="Arial" w:cs="Arial" w:eastAsia="Arial" w:hAnsi="Arial"/>
          <w:sz w:val="18"/>
          <w:szCs w:val="18"/>
          <w:color w:val="auto"/>
        </w:rPr>
        <w:t>Our revenue is generated as a result of our fee-based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with Diamondback, which are based upon the prevailing market rates at the time of execution with annual escalators (subject to potential adjustment by regulators). We believe such agreements provide exposure to Diamondback’s production with no direct commodity price exposure, thus enhancing the predictability of free cash flow and our performance. We believe the current capacity of our assets should result in minimal incremental operating capital expenditures to meet Diamondback’s anticipated production volumes, and will result in significant long-term free cash flow generation that supports a self-funding model for our core business and the return of capital to unitholders through a distribution.</w:t>
      </w:r>
    </w:p>
    <w:p>
      <w:pPr>
        <w:spacing w:after="0" w:line="221" w:lineRule="exact"/>
        <w:rPr>
          <w:rFonts w:ascii="Arial" w:cs="Arial" w:eastAsia="Arial" w:hAnsi="Arial"/>
          <w:sz w:val="18"/>
          <w:szCs w:val="18"/>
          <w:color w:val="auto"/>
        </w:rPr>
      </w:pPr>
    </w:p>
    <w:p>
      <w:pPr>
        <w:jc w:val="both"/>
        <w:ind w:left="960" w:hanging="322"/>
        <w:spacing w:after="0" w:line="291" w:lineRule="auto"/>
        <w:tabs>
          <w:tab w:leader="none" w:pos="9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flexibility and conservative capital structure. </w:t>
      </w:r>
      <w:r>
        <w:rPr>
          <w:rFonts w:ascii="Arial" w:cs="Arial" w:eastAsia="Arial" w:hAnsi="Arial"/>
          <w:sz w:val="16"/>
          <w:szCs w:val="16"/>
          <w:color w:val="auto"/>
        </w:rPr>
        <w:t>We have a conservative capital structure that we believe provides us with the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flexibility to execute our business strategies. As of December 31, 2021, we had $425 million of liquidity, including $405 million of available borrowings under our credit agreement, and a debt to equity ratio of approximately 0.7 to 1.0. We believe that our significant liquidity and strong capital structure allows us to execute our strategy while limiting our reliance on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If and when we expand our crude oil and water-related midstream services to third party producers, we will face a high level of competition, including major integrated crude oil and natural gas companies and interstate and intrastate pipelines. Competition is often the greatest in geographic areas experiencing robust drilling by producers and during periods of high commodity prices for crude oil, natural gas or NGLs.</w:t>
      </w:r>
    </w:p>
    <w:p>
      <w:pPr>
        <w:spacing w:after="0" w:line="18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Within the Acreage Dedications, we do not compete with other midstream companies to provide Diamondback with midstream services. However, for certain midstream services within the Acreage Dedications, Diamondback may continue to use third party service providers until the expiration or termination of certain pre-existing dedications.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volumes of condensate produced at our processing facilities fluctuate seasonally, with volumes generally increasing in the winter months and decreasing in the summer months as a result of the physical properties of natural gas and comingled liquids.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midstream services we provide are subject to regulations that may affect certain aspects of our business and the market for our services.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1" w:lineRule="exact"/>
        <w:rPr>
          <w:sz w:val="20"/>
          <w:szCs w:val="20"/>
          <w:color w:val="auto"/>
        </w:rPr>
      </w:pPr>
    </w:p>
    <w:p>
      <w:pPr>
        <w:ind w:firstLine="632"/>
        <w:spacing w:after="0" w:line="325" w:lineRule="auto"/>
        <w:rPr>
          <w:sz w:val="20"/>
          <w:szCs w:val="20"/>
          <w:color w:val="auto"/>
        </w:rPr>
      </w:pPr>
      <w:r>
        <w:rPr>
          <w:rFonts w:ascii="Arial" w:cs="Arial" w:eastAsia="Arial" w:hAnsi="Arial"/>
          <w:sz w:val="16"/>
          <w:szCs w:val="16"/>
          <w:color w:val="auto"/>
        </w:rPr>
        <w:t>Our gathering pipelines, crude oil treating facilities and produced water facilities are subject to certain federal, state and local laws and regulations governing the emission or discharge of materials into the environment or otherwise relating to the protection of the environment.</w:t>
      </w:r>
    </w:p>
    <w:p>
      <w:pPr>
        <w:spacing w:after="0" w:line="160"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As an owner or operator of these facilities, we comply with these laws and regulations at the federal, state and local levels. These laws and regulations can restrict or impact our business activities in many ways, such as:</w:t>
      </w:r>
    </w:p>
    <w:p>
      <w:pPr>
        <w:spacing w:after="0" w:line="207" w:lineRule="exact"/>
        <w:rPr>
          <w:sz w:val="20"/>
          <w:szCs w:val="20"/>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the acquisition of permits to conduct regulated activities;</w:t>
      </w:r>
    </w:p>
    <w:p>
      <w:pPr>
        <w:spacing w:after="0" w:line="56"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the way we can handle or dispose of our materials or wastes;</w:t>
      </w:r>
    </w:p>
    <w:p>
      <w:pPr>
        <w:spacing w:after="0" w:line="43" w:lineRule="exact"/>
        <w:rPr>
          <w:rFonts w:ascii="Arial" w:cs="Arial" w:eastAsia="Arial" w:hAnsi="Arial"/>
          <w:sz w:val="18"/>
          <w:szCs w:val="18"/>
          <w:color w:val="auto"/>
        </w:rPr>
      </w:pPr>
    </w:p>
    <w:p>
      <w:pPr>
        <w:ind w:left="960" w:hanging="322"/>
        <w:spacing w:after="0" w:line="274" w:lineRule="auto"/>
        <w:tabs>
          <w:tab w:leader="none" w:pos="9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or prohibiting construction, expansion, modification and operational activities based on National Ambient Air Quality Standards, or NAAQS, and in sensitive areas, such as wetlands, coastal regions, seismically sensitive areas, or areas inhabited by endangered species;</w:t>
      </w:r>
    </w:p>
    <w:p>
      <w:pPr>
        <w:spacing w:after="0" w:line="1" w:lineRule="exact"/>
        <w:rPr>
          <w:rFonts w:ascii="Arial" w:cs="Arial" w:eastAsia="Arial" w:hAnsi="Arial"/>
          <w:sz w:val="16"/>
          <w:szCs w:val="16"/>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remedial action to mitigate pollution conditions caused by our operations or attributable to former operations;</w:t>
      </w:r>
    </w:p>
    <w:p>
      <w:pPr>
        <w:spacing w:after="0" w:line="30" w:lineRule="exact"/>
        <w:rPr>
          <w:rFonts w:ascii="Arial" w:cs="Arial" w:eastAsia="Arial" w:hAnsi="Arial"/>
          <w:sz w:val="18"/>
          <w:szCs w:val="18"/>
          <w:color w:val="auto"/>
        </w:rPr>
      </w:pPr>
    </w:p>
    <w:p>
      <w:pPr>
        <w:ind w:left="960" w:hanging="322"/>
        <w:spacing w:after="0" w:line="23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enjoining, or compelling changes to, the operations of facilities deemed not to be in compliance with permits issued pursuant to such environmental laws and regulations; and</w:t>
      </w:r>
    </w:p>
    <w:p>
      <w:pPr>
        <w:spacing w:after="0" w:line="29" w:lineRule="exact"/>
        <w:rPr>
          <w:rFonts w:ascii="Arial" w:cs="Arial" w:eastAsia="Arial" w:hAnsi="Arial"/>
          <w:sz w:val="18"/>
          <w:szCs w:val="18"/>
          <w:color w:val="auto"/>
        </w:rPr>
      </w:pPr>
    </w:p>
    <w:p>
      <w:pPr>
        <w:ind w:left="960" w:right="20" w:hanging="322"/>
        <w:spacing w:after="0" w:line="262"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noise, lighting, visual impact, odor or dust mitigation, setbacks, landscaping, fencing and other measures; and limiting or restricting water use.</w:t>
      </w:r>
    </w:p>
    <w:p>
      <w:pPr>
        <w:spacing w:after="0" w:line="259"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Failure to comply with these laws and regulations may trigger a variety of administrative, civil and criminal enforcement measures, including the assessment of monetary penalties, the imposition of remedial requirements and the issuance of orders enjoining current and future operations. Certain environmental statutes impose strict liability (i.e., no showing of “fault” is required) that may be joint and several for costs required to clean up and restore sites where hazardous substances have been disposed or otherwise released. Moreover, it is not uncommon for neighboring landowners and other third parties to file claims for property damage or possibly personal injury allegedly caused by the release of substances or other waste products into the environment.</w:t>
      </w:r>
    </w:p>
    <w:p>
      <w:pPr>
        <w:spacing w:after="0" w:line="19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historic trend in environmental regulation is to place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When possible, we attempt to anticipate future regulatory requirements that might be imposed and plan accordingly to manage the costs of such compliance.</w:t>
      </w:r>
    </w:p>
    <w:p>
      <w:pPr>
        <w:spacing w:after="0" w:line="21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Our producers are subject to various environmental laws and regulations, including the ones described below, and could similarly face suspension of activities or substantial fines and penalties or other costs resulting from noncompliance with such laws and regulations. Any costs incurred to comply with or fines and penalties imposed related to alleged violations of environmental law that have the potential to impact or curtail production from the producers utilizing our midstream assets could subsequently reduce throughput on our systems and in turn adversely affect our business and results of operations. 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Air Emissions</w:t>
      </w:r>
    </w:p>
    <w:p>
      <w:pPr>
        <w:spacing w:after="0" w:line="241"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Our operations are subject to the CAA, and comparable state and local requirements. We may be required to incur certain capital expenditures for air pollution control equipment in connection with maintaining or obtaining preconstruction and operating permits and approvals. For example, on August 16, 2012, the EPA published final regulations under the CAA that establish new emission controls for oil and natural gas production and processing operations. See “—Climate Change” below. Also, on June 3, 2016, the EPA published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CAA and associated state laws and regulations.</w:t>
      </w:r>
    </w:p>
    <w:p>
      <w:pPr>
        <w:spacing w:after="0" w:line="21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Compliance with these or other new legal requirements could, among other things, require installation of new emission controls on some of our equipment, result in longer permitting timelines, and significantly increase our capital expenditures and operating costs, which could adversely impact our business.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Climate Change</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In recent years, federal, state and local governments have taken steps to reduce emissions of GHGs. The EPA has finalized a series of GHG monitoring, reporting and emission control rules for the oil and natural gas industry, and the U.S. Congress has, from time to time, considered adopting legislation to reduce emissions. Almost one-half of the states have already taken measures to reduce emissions of GHGs primarily through the development of GHG emission inventories and/or regional GHG cap-and-trade programs. In addition, states have imposed increasingly stringent requirements related to the venting or flaring of gas during oil and natural gas operations.</w:t>
      </w:r>
    </w:p>
    <w:p>
      <w:pPr>
        <w:spacing w:after="0" w:line="208"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6"/>
          <w:szCs w:val="16"/>
          <w:color w:val="auto"/>
        </w:rPr>
        <w:t>Furthermore, on June 3, 2016, the EPA amended its New Source Performance standards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New Source Performance standards to ease regulatory burdens, including rescinding standards applicable to transmission or storage segments and eliminating methane requirements altogether. On June 30, 2021, President Biden signed into law a joint resolution of Congress disapproving the 2020 amendments (with the exception of some technical changes) thereby reinstating the 2016 New Source Performance standards. The EPA expects owners and operators of regulated sources to take “immediate steps” to comply with these standards. Additionally, on November 15, 2021, the EPA published a proposed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96"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6"/>
          <w:szCs w:val="16"/>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GHGs. The Paris Agreement went into effect on November 4, 2016. The Paris Agreement establishes a framework for the parties to cooperate and report actions to reduce GHG emissions. Although the United States withdrew from the Paris Agreement, effective November 4, 2020, President Biden issued an Executive Order on January 20, 2021 to rejoin the Paris Agreement, which took effect on February 19, 2021. On April 21, 2021, the United States announced that it was setting an economy-wide target of reducing its GHG emissions by 50-52 percent below 2005 levels in 2030. In November 2021, in connection with the 26th Conference of the Parties in Glasgow, Scotland, the United States and other world leaders made further commitments to reduce GHG emissions, including reducing global methane emissions by at least 30% by 2030. Furthermore, many state and local leaders have stated their intent to intensify efforts to support the international climate commitments.</w:t>
      </w:r>
    </w:p>
    <w:p>
      <w:pPr>
        <w:spacing w:after="0" w:line="213"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such future laws and regulations imposing reporting obligations on, or limiting emissions of GHGs from, our equipment and operations could require us to incur costs to reduce emissions of GHGs associated with our operations. Substantial limitations on GHG emissions could also adversely affect demand for the crude oil and natural gas we gather.</w:t>
      </w:r>
    </w:p>
    <w:p>
      <w:pPr>
        <w:spacing w:after="0" w:line="21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GHG emissions from oil and natural gas operations constitute a public nuisance under federal and/or state common law. As a result, private individuals or public entities may seek to enforce environmental laws and regulations against us and could allege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the severe winter storms in the Permian Basin in February 2021, can interfere with our operations or Diamondback’s exploration and production operations, which in turn could affect demand for our services. Damage resulting from extreme weather may not be fully insured. However, at this time, we are unable to determine the extent to which climate change may lead to increased storm or weather hazards affecting our operations.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Remediation of Hazardous Substances</w:t>
      </w:r>
    </w:p>
    <w:p>
      <w:pPr>
        <w:spacing w:after="0" w:line="241" w:lineRule="exact"/>
        <w:rPr>
          <w:sz w:val="20"/>
          <w:szCs w:val="20"/>
          <w:color w:val="auto"/>
        </w:rPr>
      </w:pPr>
    </w:p>
    <w:p>
      <w:pPr>
        <w:jc w:val="both"/>
        <w:ind w:firstLine="632"/>
        <w:spacing w:after="0" w:line="298" w:lineRule="auto"/>
        <w:rPr>
          <w:sz w:val="20"/>
          <w:szCs w:val="20"/>
          <w:color w:val="auto"/>
        </w:rPr>
      </w:pPr>
      <w:r>
        <w:rPr>
          <w:rFonts w:ascii="Arial" w:cs="Arial" w:eastAsia="Arial" w:hAnsi="Arial"/>
          <w:sz w:val="15"/>
          <w:szCs w:val="15"/>
          <w:color w:val="auto"/>
        </w:rPr>
        <w:t>Our operations are subject to environmental laws and regulations relating to the management and release of hazardous substances or solid wastes, including petroleum hydrocarbons. These laws generally regulate the generation, storage, treatment, transportation and disposal of solid and hazardous waste, and may impose strict, joint and several liabilities for the investigation and remediation of areas at a facility where hazardous substances may have been released or disposed. 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Despite the “petroleum exclusion” of CERCLA Section 101(14) that currently encompasses crude oil and natural gas, we may nonetheless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 Therefore, governmental agencies or third parties may seek to hold us responsible under CERCLA and comparable state statutes for all or part of the costs to clean up sites at which such “hazardous substances” have been released.</w:t>
      </w: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Waste Handling</w:t>
      </w:r>
    </w:p>
    <w:p>
      <w:pPr>
        <w:spacing w:after="0" w:line="24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We also generate solid wastes, including hazardous wastes that are subject to the requirements of the Resource Conservation and Recovery Act, or RCRA, and comparable state statutes. The RCRA, as amended, and comparable state statutes and regulations promulgated thereunder, affect oil and natural gas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5"/>
          <w:szCs w:val="15"/>
          <w:color w:val="auto"/>
        </w:rPr>
        <w:t>Administrative, civil and criminal penalties can be imposed for failure to comply with waste handling requirements. We currently own or lease properties where petroleum hydrocarbons are being or have been handled for many years. Although we have utilized operating and disposal practices that were standard in the industry at the time, petroleum hydrocarbons or other wastes may have been disposed of or released on or under the properties owned or leased by us or on or under the other locations where these petroleum hydrocarbons and wastes have been taken for treatment or disposal. In addition, certain of these properties have been operated by third parties whose treatment and disposal or release of petroleum hydrocarbons or other wastes was not under our control. These properties and wastes disposed thereon may be subject to CERCLA,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production wastes could increase our costs to manage and dispose of such wastes.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Federal Water Pollution Control Act of 1972, as amended, also referred to as the “Clean Water Act,” or the CWA, and analogous state laws impose restrictions and strict controls regarding the unauthorized discharge of pollutants, including produced waters and other oil and natural gas wastes, into navigable waters of the United States, as well as state waters. Pursuant to the CWA and analogous state laws, the discharge of pollutants into regulated waters is prohibited, except in accordance with the terms of a permit issued by the EPA or the state. The CWA and regulations implemented thereunder also prohibit the discharge of dredge and fill material into regulated waters, including jurisdictional wetlands, unless authorized by an appropriately issued permit.</w:t>
      </w:r>
    </w:p>
    <w:p>
      <w:pPr>
        <w:spacing w:after="0" w:line="17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6"/>
          <w:szCs w:val="16"/>
          <w:color w:val="auto"/>
        </w:rPr>
        <w:t>The scope of waters regulated under the CWA has fluctuated in recent years. On June 29, 2015, the EPA and the U.S. Army Corps of Engineers, or the Corps, jointly promulgated final rules redefining the scope of waters protected under the CWA. However, on October 22, 2019, the agencies published a final rule to repeal the 2015 rules, and then on April 21, 2020, the EPA and the Corps published a final rule replacing the 2015 rule, which significantly reduced the waters subject to federal regulation under the CWA. On August 30, 2021, a federal court struck down the replacement rule and, on December 7, 2021, the EPA and the Corps published a proposed rule that would put back into place the pre-2015 definition of “waters of the United States,” updated to reflect Supreme Court decisions, while the agencies continue to consult with stakeholders on future regulatory actions. As a result of such recent developments, substantial uncertainty exists regarding the scope of waters protected under the CWA. To the extent the rules expand the range of properties subject to the CWA’s jurisdiction, we could face increased costs and delays with respect to obtaining permits for dredge and fill activities in wetland areas</w:t>
      </w:r>
    </w:p>
    <w:p>
      <w:pPr>
        <w:spacing w:after="0" w:line="21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Spill prevention, control and countermeasure plan, or SPCC, requirements under federal law require appropriate containment berms and similar structures to help prevent the contamination of navigable waters in the event of a petroleum hydrocarbon tank spill, rupture or leak. In some instances, we may also be required to develop a Facility Response Plan that demonstrates our facility’s preparedness to respond to a worst case crude oil discharge. The CWA imposes substantial potential civil and criminal penalties for non-compliance.</w:t>
      </w:r>
    </w:p>
    <w:p>
      <w:pPr>
        <w:spacing w:after="0" w:line="21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Costs may be associated with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24"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Non-compliance with the CWA or the Oil Pollution Act may result in substantial administrative, civil and criminal penalties, as well as injunctive obligations. We believe we are in material compliance with the requirements of each of these laws. Additionally, we believe that compliance with existing permits and compliance with foreseeable new permit requirements will not have a material adverse effect on our financial condition or results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4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We do not conduct hydraulic fracturing operations, but substantially all of Diamondback’s crude oil and natural gas production on the Acreage Dedications are developed from unconventional sources that require hydraulic fracturing as part of the completion process. The majority of our sourced water services business is related to the storage and transportation of water for use in hydraulic fracturing. 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federal, state and local jurisdictions have adopted, or are considering adopting, regulations that could restrict or prohibit hydraulic fracturing in certain circumstances, impose more stringent operating standards and/or require the disclosure of the composition of hydraulic fracturing fluids. Additionally, there are certain governmental reviews either underway or being proposed that focus on environmental aspects of hydraulic fracturing practices, which could spur initiatives to further regulate hydraulic fracturing. Additional levels of regulation and permits required through the adoption of new laws and regulations at the federal, state or local level could lead to delays, increased operating costs and process prohibitions that could reduce the volumes of crude oil and natural gas that move through our gathering systems and decrease demand for our water services, which in turn could materially adversely impact our revenues.</w:t>
      </w:r>
    </w:p>
    <w:p>
      <w:pPr>
        <w:spacing w:after="0" w:line="187" w:lineRule="exact"/>
        <w:rPr>
          <w:sz w:val="20"/>
          <w:szCs w:val="20"/>
          <w:color w:val="auto"/>
        </w:rPr>
      </w:pPr>
    </w:p>
    <w:p>
      <w:pPr>
        <w:jc w:val="both"/>
        <w:ind w:firstLine="435"/>
        <w:spacing w:after="0" w:line="244" w:lineRule="auto"/>
        <w:rPr>
          <w:sz w:val="20"/>
          <w:szCs w:val="20"/>
          <w:color w:val="auto"/>
        </w:rPr>
      </w:pPr>
      <w:r>
        <w:rPr>
          <w:rFonts w:ascii="Arial" w:cs="Arial" w:eastAsia="Arial" w:hAnsi="Arial"/>
          <w:sz w:val="16"/>
          <w:szCs w:val="16"/>
          <w:color w:val="auto"/>
        </w:rPr>
        <w:t>We dispose of large volumes of produced water, gathered from Diamondback and other customers in connection with their respective drilling and producing operations, and inject it into wells pursuant to permits issued to us by governmental authorities overseeing such activities. While these permits are issued pursuant to the Safe Drinking Water Act and other implementing laws and regulations, the legal requirements are subject to change, which could result in imposition of more stringent operating constraints or new monitoring and reporting requirements. Regulators in some states have sought additional requirements to assess the relationship between seismicity and the use of disposal wells. For example, the RRC has recently imposed standards for operators of disposal wells to assess risk in seismically active areas. Additionally, the RRC can impose increased frequency of injection data to the state, inclusive of daily rate and pressure. Utilizing the permit required for risk assessment and increased data density, if the applicant of a disposal well cannot demonstrate that the produced water or other fluids are confined to the disposal zone or are likely to be or determined to be contributing to seismic activity, then the RRC may deny, modify, suspend, or terminate the permit application or existing permit for such well. The RRC has used this authority to deny permits and temporarily suspend operations for disposal wells, and in September 2021, the RRC curtailed the amount of water companies are permitted to inject into some wells near Midland and Odessa in the Permian Basin. Since this action, the RRC has indefinitely suspended some permits and identified other areas of increased seismic risk with associated imposition of permit modification. These restrictions on disposal of produced water could result in increased operating costs through alternative water handling strategies, not limited to, trucking water to low risk areas, recycling of produced water, or pumping it through a pipeline network to low risk areas.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such as the dunes sagebrush lizard, in areas where we operate as threatened or endangered could result in the imposition of restrictions on our operations and consequently have a material adverse effect on our business.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 and Maintenance Regulation</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are subject to regulation by DOT under the Hazardous Liquids Pipeline Safety Act of 1979, or HLPSA, and comparable state statutes with respect to design, installation, testing, construction, operation, replacement and management of pipeline facilities. HLPSA covers petroleum and petroleum products, including NGLs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9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are also subject to the Natural Gas Pipeline Safety Act of 1968, or NGPSA, and the Pipeline Safety Improvement Act of 2002. The NGPSA regulates safety requirements in the design, construction, operation and maintenance of natural gas pipeline facilities while the Pipeline Safety Improvement Act establishes mandatory inspections for all United States crude oil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18"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Pipeline Safety and Job Creation Act, enacted in 2011, and the Protecting our Infrastructure of Pipelines and Enhancing Safety Act of 2016, also known as the PIPES Act, enacted in 2016, amended the HLPSA and NGPSA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$225,134 and $2,251,334,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182"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6"/>
          <w:szCs w:val="16"/>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hazardous liquid gravity and rural gathering lines. Also, on November 15, 2021, PHMSA published a final rule extending reporting requirements to all onshore gas gathering operators and establishing a set of minimum safety requirements for certain gas gathering pipelines with large diameters and high operating pressures. Additional rulemakings are anticipated, including rulemakings to adjust repair criteria for gas transmission lines, to require inspection of gas pipelines following extreme events, and to strengthen integrity management assessment requirements. Also, on June 7, 2021, PHMSA issued an advisory bulletin reminding pipeline owners and operators that, pursuant to legislation signed into law in December 2020, they must take several steps to eliminate hazardous leaks and minimize releases of natural gas by December 27, 2021. These requirements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210"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The RRC is the agency vested with intrastate natural gas pipeline regulatory and enforcement authority in Texas. The Commission’s regulations adopt by reference the minimum federal safety standards for the transportation of natural gas. In addition, on December 17, 2019, the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194"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In addition, we are subject to the requirements of OSHA and comparable state statutes, whose purpose is to protect the health and safety of workers, both generally and within the pipeline industry.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We and the entities in which we own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compliance with safeguard and security requirements. We believe that we are in compliance in all material respects with all applicable laws and regulations relating to safety and security.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FERC and State Regulation of Natural Gas and Crude Oil Pipelines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FERC’s regulation of crude oil and natural gas pipeline transportation services and natural gas sales in interstate commerce affects certain aspects of our business and the market for our products and services.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Natural Gas Gathering Pipeline Regulation</w:t>
      </w:r>
    </w:p>
    <w:p>
      <w:pPr>
        <w:spacing w:after="0" w:line="241" w:lineRule="exact"/>
        <w:rPr>
          <w:sz w:val="20"/>
          <w:szCs w:val="20"/>
          <w:color w:val="auto"/>
        </w:rPr>
      </w:pPr>
    </w:p>
    <w:p>
      <w:pPr>
        <w:jc w:val="both"/>
        <w:ind w:firstLine="632"/>
        <w:spacing w:after="0" w:line="303" w:lineRule="auto"/>
        <w:rPr>
          <w:sz w:val="20"/>
          <w:szCs w:val="20"/>
          <w:color w:val="auto"/>
        </w:rPr>
      </w:pPr>
      <w:r>
        <w:rPr>
          <w:rFonts w:ascii="Arial" w:cs="Arial" w:eastAsia="Arial" w:hAnsi="Arial"/>
          <w:sz w:val="15"/>
          <w:szCs w:val="15"/>
          <w:color w:val="auto"/>
        </w:rPr>
        <w:t>Section 1(b) of the Natural Gas Act of 1938, or NGA, exempts natural gas gathering facilities from the jurisdiction of FERC under the NGA. We believe that our natural gas gathering facilities meet the traditional tests FERC has used to establish a pipeline’s status as a gathering pipeline and therefore our natural gas gathering facilities should not be subject to FERC jurisdiction. However, the distinction between FERC-regulated interstate transportation services and federally unregulated gathering services has been the subject of frequent litigation and varying interpretations, and FERC determines whether facilities are gathering facilities on a case by case basis, so the classification and regulation of our gathering facilities may be subject to change based on future determinations by FERC, the courts, or Congress. If FERC were to determine that all or some of our gathering facilities or the services provided by us are not exempt from FERC regulation, the rates for, and terms and conditions of, services provided by such facilities would be subject to regulation by FERC, which could in turn decrease revenue, increase operating costs, and, depending upon the facility in question, adversely affect our results of operations and cash flow.</w:t>
      </w:r>
    </w:p>
    <w:p>
      <w:pPr>
        <w:spacing w:after="0" w:line="181"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The Energy Policy Act of 2005, or EPAct 2005, amended the NGA to add an anti-market manipulation provision. Pursuant to FERC’s rules promulgated under EPAct 2005, it is unlawful for any entity, directly or indirectly, in connection with the purchase or sale of natural gas subject to the jurisdiction of FERC, or the purchase or sale of transportation services subject to FERC jurisdiction: (1) to use or employ any device, scheme or artifice to defraud; (2) to make any untrue statement of material fact or omit a material fact; or (3) to engage in any act or practice that operates as a fraud or deceit upon any person. EPAct 2005 provided FERC with substantial enforcement authority, including the power to assess civil penalties of up to $1.0 million per day per violation, now increased for inflation to more than $1.3 million per day per violation, to order disgorgement of profits and to recommend criminal penalties. Failure to comply with the NGA, EPAct 2005 and the other federal laws and regulations governing our business can result in the imposition of administrative, civil and criminal remedies.</w:t>
      </w:r>
    </w:p>
    <w:p>
      <w:pPr>
        <w:spacing w:after="0" w:line="226"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Texas regulation of gathering facilities includes various safety, environmental and ratable take requirements. Our gathering operations are subject to regulation by the RRC. Texas’s Natural Resources Code, or TNRC, provides that each person purchasing or taking for transportation crude oil or natural gas from any owner or producer shall purchase or take ratably, without discrimination in favor of any owner or producer over any other owner or producer in the same common source of supply offering to sell his crude oil or natural gas produced therefrom to such person. This statute has the effect of restricting our right as an owner of gathering facilities to decide with whom we contract to transport natural gas.</w:t>
      </w:r>
    </w:p>
    <w:p>
      <w:pPr>
        <w:spacing w:after="0" w:line="19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RRC’s regulations require operators of natural gas gathering lines to file several forms and provide financial assurance, and they also impose certain requirements on gathering system waste. Moreover, the RRC retains authority to regulate the installation, reclamation, operations, maintenance, and repair of gathering systems should the RRC choose to do so. Should the RRC exercise this authority, the consequences for us will depend upon the extent to which the authority is exercised. We cannot predict what effect, if any, the exercise of such authority might have on our operations.</w:t>
      </w:r>
    </w:p>
    <w:p>
      <w:pPr>
        <w:spacing w:after="0" w:line="188"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Our natural gas gathering facilities are not subject to rate regulation or open access requirements by the RRC. However, the RRC requires us to register as pipeline operators, pay assessment and registration fees, undergo inspections and report annually on the miles of pipeline we operate.</w:t>
      </w:r>
    </w:p>
    <w:p>
      <w:pPr>
        <w:spacing w:after="0" w:line="160"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Many of the producing states, including Texas, have adopted some form of complaint-based regulation that generally allows natural gas producers and shippers to file complaints with state regulators in an effort to resolve grievances relating to natural gas gathering access and rate discrimination. Further, additional rules and legislation pertaining to these matters are considered or adopted from time to time. We cannot predict what effect, if any, such changes might have on our operations, but we could be required to incur additional capital expenditures and increased costs depending on future legislative and regulatory changes.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Crude Oil Pipeline Regulation</w:t>
      </w:r>
    </w:p>
    <w:p>
      <w:pPr>
        <w:spacing w:after="0" w:line="241" w:lineRule="exact"/>
        <w:rPr>
          <w:sz w:val="20"/>
          <w:szCs w:val="20"/>
          <w:color w:val="auto"/>
        </w:rPr>
      </w:pPr>
    </w:p>
    <w:p>
      <w:pPr>
        <w:jc w:val="both"/>
        <w:ind w:firstLine="632"/>
        <w:spacing w:after="0" w:line="278" w:lineRule="auto"/>
        <w:rPr>
          <w:sz w:val="20"/>
          <w:szCs w:val="20"/>
          <w:color w:val="auto"/>
        </w:rPr>
      </w:pPr>
      <w:r>
        <w:rPr>
          <w:rFonts w:ascii="Arial" w:cs="Arial" w:eastAsia="Arial" w:hAnsi="Arial"/>
          <w:sz w:val="16"/>
          <w:szCs w:val="16"/>
          <w:color w:val="auto"/>
        </w:rPr>
        <w:t>Pipelines that transport crude oil in interstate commerce are subject to regulation by FERC pursuant to the Interstate Commerce Act, or ICA, the Energy Policy Act of 1992, and related rules and orders. The ICA requires, among other things, that tariff rates for common carrier crude oil pipelines be “just and reasonable” and not unduly discriminatory or preferential, and that such rates and terms and conditions of service be filed with FERC. The ICA permits interested persons to challenge proposed new or changed rates. FERC is authorized to suspend the effectiveness of such rates for up to seven months, though rates are typically suspended only for a nominal period and allowed to become effective, subject to refund and investigation. If, after investigation, FERC finds that the new or changed rate is unlawful, it may require the carrier to pay refunds for the period that the unlawful rate was in effect. FERC also may investigate, upon complaint or on its own motion, rates that are already in effect and may order a carrier to change its rates prospectively at the conclusion of the investigation. Upon an appropriate showing, a shipper may obtain reparations for damages sustained for a period of up to 2 years prior to the filing of a complaint. The rates charged for crude oil pipeline services are generally based on a FERC-approved indexing methodology, which allows a pipeline to charge rates up to a prescribed ceiling that changes annually based on the year-to-year change in the Producer Price Index for Finished Goods (PPI-FG). A rate increase within the indexed rate ceiling is presumed to be just and reasonable unless a protesting party can demonstrate that the rate increase is substantially in excess of the pipeline’s actual operating and maintenance costs, depreciation and a reasonable return on investment. The FERC reviews the index level every five years. The current index level is the PPI-FG, plus 0.78 percent, which is in effect until June 30, 2026. As an alternative to this indexing methodology, pipelines may also choose to support changes in their rates based on a cost-of-service methodology, by obtaining advance approval to charge “market-based rates,” or by charging “settlement rates” agreed to by all affected shippers.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a FERC tariff on file to gather crude oil in interstate commerce and a RRC tariff on file to gather crude oil in intrastate commerce.</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Oil and Natural Gas Industry Regulation</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State of Texas is engaged in a number of initiatives that may impact our operations directly or indirectly. To the extent that the State of Texas adopts new regulations that impact Diamondback, as our primary current customer, the impact of these regulations on Diamondback production activity may result in decreased demand from Diamondback for the services we provide.</w:t>
      </w:r>
    </w:p>
    <w:p>
      <w:pPr>
        <w:spacing w:after="0" w:line="215"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continue to monitor proposed and new regulations and legislation in all our operating jurisdictions to assess the potential impact on our company. Concurrently, we are engaged in extensive public education and outreach efforts with the goal of engaging and educating the general public and communities about the economic and environmental benefits of safe and responsible crude oil and natural gas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Neither we, the Holding Company, the Operating Company nor our General Partner has any employees. We rely solely on Diamondback to operate our assets and perform other management, administrative and operating services for us and our General Partner. All of the individuals that conduct our business, including our executive officers, are employed by Diamondback.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own the Fasken Center which has over 421,000 net rentable square feet within its two office towers and associated assets in Midland, Texas. We, Diamondback and Viper Energy Partners LP, or Viper, are headquartered at the Fasken Center. Diamondback and unrelated third parties lease office space within the Fasken Center from us under long-term lease agreements. We also own field offices and related facilities in Midland and Reeves Counties, Texas. We believe that these facilities are adequate for our current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4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all amendments to those reports are available free of charge on the Investor Relations page of our website at </w:t>
      </w:r>
      <w:r>
        <w:rPr>
          <w:rFonts w:ascii="Arial" w:cs="Arial" w:eastAsia="Arial" w:hAnsi="Arial"/>
          <w:sz w:val="16"/>
          <w:szCs w:val="16"/>
          <w:i w:val="1"/>
          <w:iCs w:val="1"/>
          <w:color w:val="auto"/>
        </w:rPr>
        <w:t>www.rattlermidstream.com</w:t>
      </w:r>
      <w:r>
        <w:rPr>
          <w:rFonts w:ascii="Arial" w:cs="Arial" w:eastAsia="Arial" w:hAnsi="Arial"/>
          <w:sz w:val="16"/>
          <w:szCs w:val="16"/>
          <w:color w:val="auto"/>
        </w:rPr>
        <w:t xml:space="preserve">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i w:val="1"/>
          <w:iCs w:val="1"/>
          <w:color w:val="auto"/>
        </w:rPr>
        <w:t>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Other risks are also described in “Items 1 and 2. Business and Properties” and “Item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7" w:lineRule="exact"/>
        <w:rPr>
          <w:sz w:val="20"/>
          <w:szCs w:val="20"/>
          <w:color w:val="auto"/>
        </w:rPr>
      </w:pPr>
    </w:p>
    <w:p>
      <w:pPr>
        <w:jc w:val="both"/>
        <w:ind w:firstLine="553"/>
        <w:spacing w:after="0" w:line="262" w:lineRule="auto"/>
        <w:rPr>
          <w:sz w:val="20"/>
          <w:szCs w:val="20"/>
          <w:color w:val="auto"/>
        </w:rPr>
      </w:pPr>
      <w:r>
        <w:rPr>
          <w:rFonts w:ascii="Arial" w:cs="Arial" w:eastAsia="Arial" w:hAnsi="Arial"/>
          <w:sz w:val="18"/>
          <w:szCs w:val="18"/>
          <w:b w:val="1"/>
          <w:bCs w:val="1"/>
          <w:i w:val="1"/>
          <w:iCs w:val="1"/>
          <w:color w:val="auto"/>
        </w:rPr>
        <w:t>Our business and operations have been and could continue to be adversely affected by the ongoing COVID-19 pandemic and volatility in the oil and natural gas markets.</w:t>
      </w:r>
    </w:p>
    <w:p>
      <w:pPr>
        <w:spacing w:after="0" w:line="194"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6"/>
          <w:szCs w:val="16"/>
          <w:color w:val="auto"/>
        </w:rPr>
        <w:t>After briefly reaching negative levels in April 2020, oil prices recovered during 2021, closing at $85.43 per bbl WTI as of January 18, 2022, spurred by the global economic recovery from the COVID-19 pandemic and producer restraint. Demand for oil and natural gas increased during 2021, as many restrictions on conducting business implemented in response to the COVID-19 pandemic were lifted due to improved treatments and availability of vaccinations in the U.S. and globally. The emergence of the Delta COVID-19 variant in the latter part of 2021 and the subsequent surge of the highly transmissible Omicron variant, however, continue to contribute to economic and pricing volatility and a cautious production outlook for 2022, as industry and market participants evaluate the potential impact of Omicron COVID-19 cases. Further, on January 4, 2022, OPEC and its non-OPEC allies, known collectively as OPEC+, agreed to continue their program (commenced in August 2021) of gradual monthly output increases in February 2022, raising its output target by 400,000 Bbl per day, which move is expected to boost oil supply in response to rising demand. In its report issued on February 10, 2022, OPEC noted its expectation that world oil demand will rise by 4.15 MBbl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200" w:lineRule="exact"/>
        <w:rPr>
          <w:sz w:val="20"/>
          <w:szCs w:val="20"/>
          <w:color w:val="auto"/>
        </w:rPr>
      </w:pPr>
    </w:p>
    <w:p>
      <w:pPr>
        <w:jc w:val="both"/>
        <w:ind w:firstLine="632"/>
        <w:spacing w:after="0" w:line="224" w:lineRule="auto"/>
        <w:rPr>
          <w:sz w:val="20"/>
          <w:szCs w:val="20"/>
          <w:color w:val="auto"/>
        </w:rPr>
      </w:pPr>
      <w:r>
        <w:rPr>
          <w:rFonts w:ascii="Arial" w:cs="Arial" w:eastAsia="Arial" w:hAnsi="Arial"/>
          <w:sz w:val="18"/>
          <w:szCs w:val="18"/>
          <w:color w:val="auto"/>
        </w:rPr>
        <w:t>Notwithstanding the return of crude oil demand, Diamondback has announced capital plans to maintain its fourth quarter 2021 production volumes for 2022. Because we derive substantially all of our revenue from our commercial agreements with Diamondback, which do not contain minimum volume commitments, any reductions of Diamondback’s drilling and development plan on our Acreage Dedications could have a direct and adverse impact on Diamondback’s demand for our midstream services and, consequently, our results of operations.</w:t>
      </w:r>
    </w:p>
    <w:p>
      <w:pPr>
        <w:spacing w:after="0" w:line="202" w:lineRule="exact"/>
        <w:rPr>
          <w:sz w:val="20"/>
          <w:szCs w:val="20"/>
          <w:color w:val="auto"/>
        </w:rPr>
      </w:pPr>
    </w:p>
    <w:p>
      <w:pPr>
        <w:jc w:val="both"/>
        <w:ind w:firstLine="632"/>
        <w:spacing w:after="0" w:line="257" w:lineRule="auto"/>
        <w:rPr>
          <w:sz w:val="20"/>
          <w:szCs w:val="20"/>
          <w:color w:val="auto"/>
        </w:rPr>
      </w:pPr>
      <w:r>
        <w:rPr>
          <w:rFonts w:ascii="Arial" w:cs="Arial" w:eastAsia="Arial" w:hAnsi="Arial"/>
          <w:sz w:val="16"/>
          <w:szCs w:val="16"/>
          <w:color w:val="auto"/>
        </w:rPr>
        <w:t>Besides the impact of the ongoing COVID-19 pandemic and actions by OPEC+, other significant factors that are likely to continue to affect commodity prices in future periods include, but are not limited to, the effect of U.S. energy, monetary and trade policies, U.S. and global economic conditions, U.S. and global political and economic developments, including the Biden Administration’s energy and environmental policies and the potential impact of any Russian-Ukrainian conflict on the global energy markets, all of which are beyond our control.</w:t>
      </w:r>
    </w:p>
    <w:p>
      <w:pPr>
        <w:spacing w:after="0" w:line="20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The ongoing COVID-19 pandemic continues to present operational, health, labor, logistics and other challenges, and it is difficult to assess the ultimate impact of the COVID-19 pandemic on our business, financial condition and cash flows.</w:t>
      </w:r>
    </w:p>
    <w:p>
      <w:pPr>
        <w:spacing w:after="0" w:line="20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There are many variables and uncertainties regarding the COVID-19 pandemic, including the emergence, contagiousness and threat of new and different strains of the virus and their severity; the effectiveness of treatments or vaccines against the virus or its new strains; the extent of travel restrictions, business closures and other measures that are or may be imposed in affected areas or countries by governmental authorities; disruptions in the supply chain; an increasingly competitive labor market due to a sustained labor shortage or increased turnover caused by the COVID-19 pandemic; increased logistics costs; additional costs due to remote working arrangements, adherence to social distancing guidelines and other COVID-19-related challenges. Further, there remain increased risks of cyberattacks on information technology systems used in remote working environment; increased privacy-related risks due to processing health-related personal information; absence of workforce due to illness; the impact of the pandemic on any of our contractual counterparties; and other factors that are currently unknown or considered immaterial. It is difficult to assess the ultimate impact of the COVID-19 pandemic on our business, financial condition and cash flows.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32"/>
        <w:spacing w:after="0" w:line="291" w:lineRule="auto"/>
        <w:rPr>
          <w:sz w:val="20"/>
          <w:szCs w:val="20"/>
          <w:color w:val="auto"/>
        </w:rPr>
      </w:pPr>
      <w:r>
        <w:rPr>
          <w:rFonts w:ascii="Arial" w:cs="Arial" w:eastAsia="Arial" w:hAnsi="Arial"/>
          <w:sz w:val="16"/>
          <w:szCs w:val="16"/>
          <w:b w:val="1"/>
          <w:bCs w:val="1"/>
          <w:i w:val="1"/>
          <w:iCs w:val="1"/>
          <w:color w:val="auto"/>
        </w:rPr>
        <w:t>We derive substantially all of our revenue from Diamondback. If Diamondback changes its business strategy, alters its current drilling and development plan on the Acreage Dedications, or otherwise significantly reduces the volumes of crude oil, produced water or sourced water with respect to which we perform midstream services, our revenue would decline and our business, financial condition, results of operations, cash flow and ability to make distributions to our common unitholders would be materially and adversely affected.</w:t>
      </w:r>
    </w:p>
    <w:p>
      <w:pPr>
        <w:spacing w:after="0" w:line="188"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We derive substantially all of our revenue from our commercial agreements with Diamondback, which do not contain minimum volume commitments, as well as volumes attributable to third-party interest owners that participate in Diamondback’s operated wells and are charged under short-term contracts at market sensitive rates. As a result, we are subject to the operational and business risks of Diamondback, the most significant of which include the following: a reduction in or slowing of Diamondback’s drilling and development plan on the Acreage Dedications; the volatility of crude oil, natural gas and NGL prices; Diamondback’s costs of producing crude oil, natural gas and NGLs; the availability of capital on an economic basis to fund Diamondback’s exploration and development activities, if needed; drilling and operating risks, including potential environmental liabilities and litigation associated with Diamondback’s operations on the Acreage Dedications; downstream processing and transportation capacity constraints and interruptions, including the failure of Diamondback to have sufficient contracted processing or transportation capacity; and adverse effects of increased or changed governmental and environmental regulation or enforcement of existing regulation.</w:t>
      </w:r>
    </w:p>
    <w:p>
      <w:pPr>
        <w:spacing w:after="0" w:line="195"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In addition, Diamondback is under no obligation to adopt a business strategy that is favorable to us. Thus, we are subject to the risk that Diamondback could cancel its planned development on the Acreage Dedications, prioritize planned development on acreage outside of the Acreage Dedications, sell any of the Acreage Dedications to a third party whose financial condition could be materially worse than Diamondback’s, breach its commitments with respect to future dedications or otherwise fail to pay or perform, including with respect to our commercial agreements. Any material non-payment or non-performance by Diamondback under our commercial agreements would have a significant adverse impact on our business, financial condition, results of operations and cash flow and could therefore materially adversely affect our ability to make cash distributions to our common unitholders.</w:t>
      </w:r>
    </w:p>
    <w:p>
      <w:pPr>
        <w:spacing w:after="0" w:line="196"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Our commercial agreements with Diamondback provide for temporary or permanent releases of volumes or acreage from the Acreage Dedications under certain circumstances. Our commercial agreements also include provisions that permit Diamondback to suspend, reduce or terminate its obligations under each agreement if certain events occur. These events include force majeure events that would prevent us from performing some or all of the required services under the applicable agreement. Diamondback has the discretion to make such decisions notwithstanding the fact that they may significantly and adversely affect us. Any temporary or permanent release of volumes or acreage from the Acreage Dedications or reduction, suspension, or termination of Diamondback’s obligations under our commercial agreements could materially adversely affect our business, financial condition, results of operations, cash flow and ability to make cash distributions to our common unitholders.</w:t>
      </w:r>
    </w:p>
    <w:p>
      <w:pPr>
        <w:spacing w:after="0" w:line="19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As of December 31, 2021, we did not have any material customers other than Diamondback. However, we may in the future enter into material commercial contracts with other customers. To the extent we derive substantial income from or commit to capital projects to service new customers, each of the risks indicated above would apply to such arrangements and customers.</w:t>
      </w:r>
    </w:p>
    <w:p>
      <w:pPr>
        <w:spacing w:after="0" w:line="21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Our exposure to commodity price risk may change over time and we cannot guarantee the terms of any existing or future agreements for our midstream services with our customers.</w:t>
      </w:r>
    </w:p>
    <w:p>
      <w:pPr>
        <w:spacing w:after="0" w:line="20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We currently generate the majority of our revenues pursuant to fee-based agreements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We may not have sufficient cash to pay any quarterly distribution on our common units and, regardless of whether we have sufficient cash, we may choose not to pay any quarterly distribution on our common units.</w:t>
      </w:r>
    </w:p>
    <w:p>
      <w:pPr>
        <w:spacing w:after="0" w:line="207"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We may not generate sufficient cash to support or pay any distribution to our common unitholders. Furthermore, our partnership agreement does not require us to pay distributions on a quarterly basis or otherwise. The amount we will be able to distribute on our common units will depend on the amount of cash we receive from the Operating Company, which in turn will principally depend on the amount of cash the Operating Company generates from our operations, which will fluctuate from quarter to quarter based on, among other things: market prices of crude oil, natural gas and NGLs and their effect on Diamondback’s drilling and development plan on the Acreage Dedications and the volumes of hydrocarbons and water that are produced on the Acreage Dedications and for which we provide midstream services; Diamondback’s and our other customers’ ability to fund their drilling and development plan on the Acreage Dedications; downstream processing and transportation capacity constraints and interruptions; the levels of our operating expenses, maintenance expenses and general and administrative expenses; regulatory action affecting the supply of, or demand for, crude oil, natural gas, NGLs and water; regulatory action affecting our operating costs and the rates we can charge for our midstream services, including the rates that EPIC, Gray Oak, Wink to Webster, BANGL, WTG Midstream and OMOG can charge for their transportation, gathering, processing and terminal services, as applicable; prevailing economic conditions; and adverse weather conditions.</w:t>
      </w:r>
    </w:p>
    <w:p>
      <w:pPr>
        <w:spacing w:after="0" w:line="203"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In addition, the actual amount of cash we have available for distribution depends on other factors, some of which are beyond our control, including: the level and timing of our capital expenditures, including capital calls associated with any investment we make in our joint ventures; our debt service requirements and other liabilities; our ability to borrow under our debt agreements to fund our capital expenditures and operating expenditures and to pay distributions; fluctuations in our working capital needs; restrictions on distributions contained in any of our debt agreements; the cost of acquisitions, if any; the fees and expenses of our General Partner and its affiliates (including Diamondback) that we are required to reimburse; the amount of cash reserves established by our General Partner; our cash flow; and other business risks affecting our cash levels.</w:t>
      </w:r>
    </w:p>
    <w:p>
      <w:pPr>
        <w:spacing w:after="0" w:line="196" w:lineRule="exact"/>
        <w:rPr>
          <w:sz w:val="20"/>
          <w:szCs w:val="20"/>
          <w:color w:val="auto"/>
        </w:rPr>
      </w:pPr>
    </w:p>
    <w:p>
      <w:pPr>
        <w:ind w:right="380" w:firstLine="632"/>
        <w:spacing w:after="0" w:line="262" w:lineRule="auto"/>
        <w:rPr>
          <w:sz w:val="20"/>
          <w:szCs w:val="20"/>
          <w:color w:val="auto"/>
        </w:rPr>
      </w:pPr>
      <w:r>
        <w:rPr>
          <w:rFonts w:ascii="Arial" w:cs="Arial" w:eastAsia="Arial" w:hAnsi="Arial"/>
          <w:sz w:val="18"/>
          <w:szCs w:val="18"/>
          <w:b w:val="1"/>
          <w:bCs w:val="1"/>
          <w:i w:val="1"/>
          <w:iCs w:val="1"/>
          <w:color w:val="auto"/>
        </w:rPr>
        <w:t>The board of directors of our General Partner may modify or revoke our cash distribution policy at any time at its discretion. Our partnership agreement does not require us to make any distributions on our common units at all.</w:t>
      </w:r>
    </w:p>
    <w:p>
      <w:pPr>
        <w:spacing w:after="0" w:line="207" w:lineRule="exact"/>
        <w:rPr>
          <w:sz w:val="20"/>
          <w:szCs w:val="20"/>
          <w:color w:val="auto"/>
        </w:rPr>
      </w:pPr>
    </w:p>
    <w:p>
      <w:pPr>
        <w:jc w:val="both"/>
        <w:ind w:firstLine="632"/>
        <w:spacing w:after="0" w:line="283" w:lineRule="auto"/>
        <w:rPr>
          <w:rFonts w:ascii="Arial" w:cs="Arial" w:eastAsia="Arial" w:hAnsi="Arial"/>
          <w:sz w:val="16"/>
          <w:szCs w:val="16"/>
          <w:color w:val="0000FF"/>
        </w:rPr>
      </w:pPr>
      <w:r>
        <w:rPr>
          <w:rFonts w:ascii="Arial" w:cs="Arial" w:eastAsia="Arial" w:hAnsi="Arial"/>
          <w:sz w:val="16"/>
          <w:szCs w:val="16"/>
          <w:color w:val="auto"/>
        </w:rPr>
        <w:t xml:space="preserve">The board of directors of our General Partner may change our cash distribution policy at any time at its discretion and could elect not to pay distributions on our common units for one or more quarters. Any modification or revocation of our cash distribution policy could substantially reduce or eliminate the amounts of distributions to our common unitholders. The amount of distributions we make, if any, and the decision to make any distribution at all will be determined by the board of directors of our General Partner, whose interests may differ from those of our common unitholders. Our General Partner has limited duties to our common unitholders, which may permit it to favor its own interests or the interests of Diamondback to the detriment of our common </w:t>
      </w:r>
      <w:hyperlink w:anchor="page36">
        <w:r>
          <w:rPr>
            <w:rFonts w:ascii="Arial" w:cs="Arial" w:eastAsia="Arial" w:hAnsi="Arial"/>
            <w:sz w:val="16"/>
            <w:szCs w:val="16"/>
            <w:color w:val="auto"/>
          </w:rPr>
          <w:t>unitholders. For information regarding our distribution policy and the recent modifications, see “</w:t>
        </w:r>
        <w:r>
          <w:rPr>
            <w:rFonts w:ascii="Arial" w:cs="Arial" w:eastAsia="Arial" w:hAnsi="Arial"/>
            <w:sz w:val="16"/>
            <w:szCs w:val="16"/>
            <w:u w:val="single" w:color="auto"/>
            <w:color w:val="0000FF"/>
          </w:rPr>
          <w:t>Management’s Discussion and Analysis of Financial Condition</w:t>
        </w:r>
      </w:hyperlink>
      <w:r>
        <w:rPr>
          <w:rFonts w:ascii="Arial" w:cs="Arial" w:eastAsia="Arial" w:hAnsi="Arial"/>
          <w:sz w:val="16"/>
          <w:szCs w:val="16"/>
          <w:color w:val="auto"/>
        </w:rPr>
        <w:t xml:space="preserve"> </w:t>
      </w:r>
      <w:hyperlink w:anchor="page36">
        <w:r>
          <w:rPr>
            <w:rFonts w:ascii="Arial" w:cs="Arial" w:eastAsia="Arial" w:hAnsi="Arial"/>
            <w:sz w:val="16"/>
            <w:szCs w:val="16"/>
            <w:u w:val="single" w:color="auto"/>
            <w:color w:val="0000FF"/>
          </w:rPr>
          <w:t>and Results of Operations</w:t>
        </w:r>
        <w:r>
          <w:rPr>
            <w:rFonts w:ascii="Arial" w:cs="Arial" w:eastAsia="Arial" w:hAnsi="Arial"/>
            <w:sz w:val="16"/>
            <w:szCs w:val="16"/>
            <w:color w:val="000000"/>
          </w:rPr>
          <w:t>” included elsewhere in this Annual Report.</w:t>
        </w:r>
      </w:hyperlink>
    </w:p>
    <w:p>
      <w:pPr>
        <w:spacing w:after="0" w:line="19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b w:val="1"/>
          <w:bCs w:val="1"/>
          <w:i w:val="1"/>
          <w:iCs w:val="1"/>
          <w:color w:val="auto"/>
        </w:rPr>
        <w:t>We own interests in certain pipeline projects and other joint ventures, and we may in the future enter into additional joint ventures, and our control of such entities is limited by provisions of the limited partnership and limited liability company agreements of such entities and by our percentage ownership in such entities.</w:t>
      </w:r>
    </w:p>
    <w:p>
      <w:pPr>
        <w:spacing w:after="0" w:line="215"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We have ownership interests in several joint ventures, including the EPIC, Gray Oak, Wink to Webster, BANGL, WTG and OMOG joint ventures, and we may enter into other joint venture arrangements in the future. While we own equity interests and have certain voting rights with respect to our joint ventures, we do not act as operator of or control our joint ventures (including our 60% interest in the OMOG joint venture), each of which is operated by another joint venture partner.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and which could adversely affect our ability to make distributions to our common unitholders. In addition, our joint venture partners may not satisfy their financial obligations to the joint venture and may have economic, business or legal interests or goals that are inconsistent with ours, or those of the joint venture.</w:t>
      </w:r>
    </w:p>
    <w:p>
      <w:pPr>
        <w:spacing w:after="0" w:line="225"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Certain of these joint ventures have incurred substantial debt and servicing such debt or complying with debt covenants may limit the ability of the joint ventures to make distributions to us and the other joint venture partners. 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for the joint venture, which may result in material misstatements in our reported consolidated financial results that could result in the need to restate and reissue previously issued consolidated financials filed with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are also unable to control the amount of cash we receive from the operation of these entities, which affects our ability to make distributions to our common unitholders. Joint venture arrangements may also restrict our operational and organizational flexibility and our ability to manage risk, which could have a material and adverse effect on our business, cash flow and results of operations.</w:t>
      </w:r>
    </w:p>
    <w:p>
      <w:pPr>
        <w:spacing w:after="0" w:line="200" w:lineRule="exact"/>
        <w:rPr>
          <w:sz w:val="20"/>
          <w:szCs w:val="20"/>
          <w:color w:val="auto"/>
        </w:rPr>
      </w:pPr>
    </w:p>
    <w:p>
      <w:pPr>
        <w:spacing w:after="0" w:line="252" w:lineRule="exact"/>
        <w:rPr>
          <w:sz w:val="20"/>
          <w:szCs w:val="20"/>
          <w:color w:val="auto"/>
        </w:rPr>
      </w:pPr>
    </w:p>
    <w:p>
      <w:pPr>
        <w:ind w:right="440" w:firstLine="632"/>
        <w:spacing w:after="0" w:line="262" w:lineRule="auto"/>
        <w:rPr>
          <w:sz w:val="20"/>
          <w:szCs w:val="20"/>
          <w:color w:val="auto"/>
        </w:rPr>
      </w:pPr>
      <w:r>
        <w:rPr>
          <w:rFonts w:ascii="Arial" w:cs="Arial" w:eastAsia="Arial" w:hAnsi="Arial"/>
          <w:sz w:val="18"/>
          <w:szCs w:val="18"/>
          <w:b w:val="1"/>
          <w:bCs w:val="1"/>
          <w:i w:val="1"/>
          <w:iCs w:val="1"/>
          <w:color w:val="auto"/>
        </w:rPr>
        <w:t>Any impairment of our long -lived assets or equity method investments will reduce our earnings and could negatively impact the value of our common units.</w:t>
      </w:r>
    </w:p>
    <w:p>
      <w:pPr>
        <w:spacing w:after="0" w:line="20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Consistent with GAAP, we evaluate our long-lived assets and equity method investments whenever events or changes in circumstances indicate that the carrying amount may not be recoverable. For our equity method investments, the impairment test requires us to consider whether the fair value of the investment, not just that of the underlying net assets, has declined and whether that decline is other than temporary. If we determine that an other than temporary impairment is indicated, we are required to record a non-cash charge to earnings with a corresponding reduction in the carrying value of the investment.</w:t>
      </w:r>
    </w:p>
    <w:p>
      <w:pPr>
        <w:spacing w:after="0" w:line="222" w:lineRule="exact"/>
        <w:rPr>
          <w:sz w:val="20"/>
          <w:szCs w:val="20"/>
          <w:color w:val="auto"/>
        </w:rPr>
      </w:pPr>
    </w:p>
    <w:p>
      <w:pPr>
        <w:jc w:val="both"/>
        <w:ind w:firstLine="632"/>
        <w:spacing w:after="0" w:line="247" w:lineRule="auto"/>
        <w:rPr>
          <w:rFonts w:ascii="Arial" w:cs="Arial" w:eastAsia="Arial" w:hAnsi="Arial"/>
          <w:sz w:val="18"/>
          <w:szCs w:val="18"/>
          <w:color w:val="0000FF"/>
        </w:rPr>
      </w:pPr>
      <w:r>
        <w:rPr>
          <w:rFonts w:ascii="Arial" w:cs="Arial" w:eastAsia="Arial" w:hAnsi="Arial"/>
          <w:sz w:val="18"/>
          <w:szCs w:val="18"/>
          <w:color w:val="auto"/>
        </w:rPr>
        <w:t xml:space="preserve">The risk of future impairments related to our long-lived assets or equity method investments will continue to exist. If underlying business assumptions change, there can be no assurance that a future impairment charge will not be made with respect to our remaining balances of our equity method investments and long-lived assets. This could have a negative impact on our common unit price. For further discussion of the impairment of long-lived assets and equity </w:t>
      </w:r>
      <w:hyperlink w:anchor="page44">
        <w:r>
          <w:rPr>
            <w:rFonts w:ascii="Arial" w:cs="Arial" w:eastAsia="Arial" w:hAnsi="Arial"/>
            <w:sz w:val="18"/>
            <w:szCs w:val="18"/>
            <w:color w:val="auto"/>
          </w:rPr>
          <w:t>method investments, see “</w:t>
        </w:r>
        <w:r>
          <w:rPr>
            <w:rFonts w:ascii="Arial" w:cs="Arial" w:eastAsia="Arial" w:hAnsi="Arial"/>
            <w:sz w:val="18"/>
            <w:szCs w:val="18"/>
            <w:u w:val="single" w:color="auto"/>
            <w:color w:val="0000FF"/>
          </w:rPr>
          <w:t>Management’s Discussion and Analysis of Financial Condition and Results of Operations—Critical Accounting Estimates—Equity</w:t>
        </w:r>
      </w:hyperlink>
      <w:r>
        <w:rPr>
          <w:rFonts w:ascii="Arial" w:cs="Arial" w:eastAsia="Arial" w:hAnsi="Arial"/>
          <w:sz w:val="18"/>
          <w:szCs w:val="18"/>
          <w:color w:val="auto"/>
        </w:rPr>
        <w:t xml:space="preserve"> </w:t>
      </w:r>
      <w:hyperlink w:anchor="page44">
        <w:r>
          <w:rPr>
            <w:rFonts w:ascii="Arial" w:cs="Arial" w:eastAsia="Arial" w:hAnsi="Arial"/>
            <w:sz w:val="18"/>
            <w:szCs w:val="18"/>
            <w:u w:val="single" w:color="auto"/>
            <w:color w:val="0000FF"/>
          </w:rPr>
          <w:t>Method Investments</w:t>
        </w:r>
        <w:r>
          <w:rPr>
            <w:rFonts w:ascii="Arial" w:cs="Arial" w:eastAsia="Arial" w:hAnsi="Arial"/>
            <w:sz w:val="18"/>
            <w:szCs w:val="18"/>
            <w:color w:val="000000"/>
          </w:rPr>
          <w:t>” and “Note 6—</w:t>
        </w:r>
      </w:hyperlink>
      <w:hyperlink w:anchor="page85">
        <w:r>
          <w:rPr>
            <w:rFonts w:ascii="Arial" w:cs="Arial" w:eastAsia="Arial" w:hAnsi="Arial"/>
            <w:sz w:val="18"/>
            <w:szCs w:val="18"/>
            <w:u w:val="single" w:color="auto"/>
            <w:color w:val="0000FF"/>
          </w:rPr>
          <w:t>Property, Plant and Equipment</w:t>
        </w:r>
      </w:hyperlink>
      <w:hyperlink w:anchor="page44">
        <w:r>
          <w:rPr>
            <w:rFonts w:ascii="Arial" w:cs="Arial" w:eastAsia="Arial" w:hAnsi="Arial"/>
            <w:sz w:val="18"/>
            <w:szCs w:val="18"/>
            <w:color w:val="000000"/>
          </w:rPr>
          <w:t>” in the notes to the consolidated financial statements included elsewhere in this Annual</w:t>
        </w:r>
      </w:hyperlink>
      <w:r>
        <w:rPr>
          <w:rFonts w:ascii="Arial" w:cs="Arial" w:eastAsia="Arial" w:hAnsi="Arial"/>
          <w:sz w:val="18"/>
          <w:szCs w:val="18"/>
          <w:color w:val="0000FF"/>
        </w:rPr>
        <w:t xml:space="preserve"> </w:t>
      </w:r>
      <w:r>
        <w:rPr>
          <w:rFonts w:ascii="Arial" w:cs="Arial" w:eastAsia="Arial" w:hAnsi="Arial"/>
          <w:sz w:val="18"/>
          <w:szCs w:val="18"/>
          <w:color w:val="000000"/>
        </w:rPr>
        <w:t>Report.</w:t>
      </w:r>
    </w:p>
    <w:p>
      <w:pPr>
        <w:spacing w:after="0" w:line="224" w:lineRule="exact"/>
        <w:rPr>
          <w:rFonts w:ascii="Arial" w:cs="Arial" w:eastAsia="Arial" w:hAnsi="Arial"/>
          <w:sz w:val="18"/>
          <w:szCs w:val="18"/>
          <w:color w:val="0000FF"/>
        </w:rPr>
      </w:pPr>
    </w:p>
    <w:p>
      <w:pPr>
        <w:ind w:left="640"/>
        <w:spacing w:after="0"/>
        <w:rPr>
          <w:sz w:val="20"/>
          <w:szCs w:val="20"/>
          <w:color w:val="auto"/>
        </w:rPr>
      </w:pPr>
      <w:r>
        <w:rPr>
          <w:rFonts w:ascii="Arial" w:cs="Arial" w:eastAsia="Arial" w:hAnsi="Arial"/>
          <w:sz w:val="18"/>
          <w:szCs w:val="18"/>
          <w:b w:val="1"/>
          <w:bCs w:val="1"/>
          <w:i w:val="1"/>
          <w:iCs w:val="1"/>
          <w:color w:val="auto"/>
        </w:rPr>
        <w:t>Acreage Dedications may be lost as a result of title defects in the properties in which Diamondback invests.</w:t>
      </w:r>
    </w:p>
    <w:p>
      <w:pPr>
        <w:spacing w:after="0" w:line="241" w:lineRule="exact"/>
        <w:rPr>
          <w:rFonts w:ascii="Arial" w:cs="Arial" w:eastAsia="Arial" w:hAnsi="Arial"/>
          <w:sz w:val="18"/>
          <w:szCs w:val="18"/>
          <w:color w:val="0000FF"/>
        </w:rPr>
      </w:pPr>
    </w:p>
    <w:p>
      <w:pPr>
        <w:jc w:val="both"/>
        <w:ind w:firstLine="632"/>
        <w:spacing w:after="0" w:line="287" w:lineRule="auto"/>
        <w:rPr>
          <w:sz w:val="20"/>
          <w:szCs w:val="20"/>
          <w:color w:val="auto"/>
        </w:rPr>
      </w:pPr>
      <w:r>
        <w:rPr>
          <w:rFonts w:ascii="Arial" w:cs="Arial" w:eastAsia="Arial" w:hAnsi="Arial"/>
          <w:sz w:val="16"/>
          <w:szCs w:val="16"/>
          <w:color w:val="auto"/>
        </w:rPr>
        <w:t>When acquiring oil and natural gas leases, Diamondback may not elect to incur the expense of retaining lawyers to examine the title to the mineral interest. Rather, Diamondback may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If Diamondback fails to cure any title defects, it may be delayed or prevented from utilizing the associated mineral interest which could result in a decrease in the volumes on our systems and an associated decrease in our revenues.</w:t>
      </w:r>
    </w:p>
    <w:p>
      <w:pPr>
        <w:spacing w:after="0" w:line="138" w:lineRule="exact"/>
        <w:rPr>
          <w:rFonts w:ascii="Arial" w:cs="Arial" w:eastAsia="Arial" w:hAnsi="Arial"/>
          <w:sz w:val="18"/>
          <w:szCs w:val="18"/>
          <w:color w:val="0000FF"/>
        </w:rPr>
      </w:pPr>
    </w:p>
    <w:p>
      <w:pPr>
        <w:ind w:left="640"/>
        <w:spacing w:after="0"/>
        <w:rPr>
          <w:sz w:val="20"/>
          <w:szCs w:val="20"/>
          <w:color w:val="auto"/>
        </w:rPr>
      </w:pPr>
      <w:r>
        <w:rPr>
          <w:rFonts w:ascii="Arial" w:cs="Arial" w:eastAsia="Arial" w:hAnsi="Arial"/>
          <w:sz w:val="16"/>
          <w:szCs w:val="16"/>
          <w:b w:val="1"/>
          <w:bCs w:val="1"/>
          <w:i w:val="1"/>
          <w:iCs w:val="1"/>
          <w:color w:val="auto"/>
        </w:rPr>
        <w:t>We may not own in fee the land on which our pipelines and facilities are located, which could result in disruptions to our operations.</w:t>
      </w:r>
    </w:p>
    <w:p>
      <w:pPr>
        <w:spacing w:after="0" w:line="198" w:lineRule="exact"/>
        <w:rPr>
          <w:rFonts w:ascii="Arial" w:cs="Arial" w:eastAsia="Arial" w:hAnsi="Arial"/>
          <w:sz w:val="18"/>
          <w:szCs w:val="18"/>
          <w:color w:val="0000FF"/>
        </w:rPr>
      </w:pPr>
    </w:p>
    <w:p>
      <w:pPr>
        <w:jc w:val="both"/>
        <w:ind w:firstLine="632"/>
        <w:spacing w:after="0" w:line="283" w:lineRule="auto"/>
        <w:rPr>
          <w:sz w:val="20"/>
          <w:szCs w:val="20"/>
          <w:color w:val="auto"/>
        </w:rPr>
      </w:pPr>
      <w:r>
        <w:rPr>
          <w:rFonts w:ascii="Arial" w:cs="Arial" w:eastAsia="Arial" w:hAnsi="Arial"/>
          <w:sz w:val="16"/>
          <w:szCs w:val="16"/>
          <w:color w:val="auto"/>
        </w:rPr>
        <w:t>The majority of the land on which our midstream systems have been constructed is owned by third parties or held by surface use agreements, rights-of-way, surface leases or other easement rights, which may limit or restrict our rights or access to or use of the surface estates. Accommodating these competing rights of the surface owners may adversely affect our operations. In addition, we are subject to the possibility of more onerous terms or increased costs to retain necessary land use if we do not have valid rights-of-way, surface leases or other easement rights or if such usage rights lapse or terminate. We may obtain the rights to construct and operate our pipelines on land owned by third parties and governmental agencies for a specific period of time. Our loss of these rights, through our inability to renew rights-of-way, surface leases or other easement rights or otherwise, could have a material adverse effect on our business, financial condition, results of operations, cash flow and ability to make cash distributions.</w:t>
      </w:r>
    </w:p>
    <w:p>
      <w:pPr>
        <w:spacing w:after="0" w:line="194" w:lineRule="exact"/>
        <w:rPr>
          <w:rFonts w:ascii="Arial" w:cs="Arial" w:eastAsia="Arial" w:hAnsi="Arial"/>
          <w:sz w:val="18"/>
          <w:szCs w:val="18"/>
          <w:color w:val="0000FF"/>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Our midstream assets are currently located exclusively in the Permian Basin in Texas, making us vulnerable to risks associated with operating in a single geographic area.</w:t>
      </w:r>
    </w:p>
    <w:p>
      <w:pPr>
        <w:spacing w:after="0" w:line="207" w:lineRule="exact"/>
        <w:rPr>
          <w:rFonts w:ascii="Arial" w:cs="Arial" w:eastAsia="Arial" w:hAnsi="Arial"/>
          <w:sz w:val="18"/>
          <w:szCs w:val="18"/>
          <w:color w:val="0000FF"/>
        </w:rPr>
      </w:pPr>
    </w:p>
    <w:p>
      <w:pPr>
        <w:jc w:val="both"/>
        <w:ind w:firstLine="632"/>
        <w:spacing w:after="0" w:line="284" w:lineRule="auto"/>
        <w:rPr>
          <w:sz w:val="20"/>
          <w:szCs w:val="20"/>
          <w:color w:val="auto"/>
        </w:rPr>
      </w:pPr>
      <w:r>
        <w:rPr>
          <w:rFonts w:ascii="Arial" w:cs="Arial" w:eastAsia="Arial" w:hAnsi="Arial"/>
          <w:sz w:val="16"/>
          <w:szCs w:val="16"/>
          <w:color w:val="auto"/>
        </w:rPr>
        <w:t>Our midstream assets are currently located exclusively in the Permian Basin in Texas. As a result of this concentration, we are disproportionately exposed to the impact of regional supply and demand factors, delays or interruptions of production from wells in this area caused by governmental regulation, market limitations, water shortages or restrictions, drought related conditions or other weather-related conditions, such as the severe winter storms in the Permian Basin in February 2021, or interruption of the processing or transportation of crude oil and water. If any of these factors were to impact the Permian Basin more than other producing regions, our business, financial condition, results of operations and ability to make cash distributions could be adversely affected relative to other midstream companies that have a more geographically diversified asset portfolio.</w:t>
      </w:r>
    </w:p>
    <w:p>
      <w:pPr>
        <w:spacing w:after="0" w:line="200" w:lineRule="exact"/>
        <w:rPr>
          <w:rFonts w:ascii="Arial" w:cs="Arial" w:eastAsia="Arial" w:hAnsi="Arial"/>
          <w:sz w:val="18"/>
          <w:szCs w:val="18"/>
          <w:color w:val="0000FF"/>
        </w:rPr>
      </w:pPr>
    </w:p>
    <w:p>
      <w:pPr>
        <w:spacing w:after="0" w:line="378"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Oil and natural gas producers’ operations, especially those using hydraulic fracturing, are substantially dependent on the availability of water.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our ability to obtain water could reduce demand for our water services, which could have an adverse effect on our cash flow.</w:t>
      </w:r>
    </w:p>
    <w:p>
      <w:pPr>
        <w:spacing w:after="0" w:line="25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Water is an essential component of oil and natural gas production during both the drilling and hydraulic fracturing processes. However, the availability of suitable water supplies may be limited by prolonged drought conditions and changing laws and regulations relating to water use and conservation. For example, in recent years, Texas has experienced extreme drought conditions. As a result of this severe drought, some local water districts have begun restricting the use of water subject to their jurisdiction for hydraulic fracturing to protect local water supply. A reduction in the availability of water could impact the water services we provide and, as a result, our financial condition, results of operations and cash available for distribution could be adversely affected.</w:t>
      </w:r>
    </w:p>
    <w:p>
      <w:pPr>
        <w:spacing w:after="0" w:line="19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b w:val="1"/>
          <w:bCs w:val="1"/>
          <w:i w:val="1"/>
          <w:iCs w:val="1"/>
          <w:color w:val="auto"/>
        </w:rPr>
        <w:t>If third-party pipelines or other facilities interconnected, or expected to be interconnected, to our midstream systems become partially or fully unavailable, or if the volumes we gather or treat do not meet the quality requirements of such pipelines or facilities, our business, financial condition, results of operations, cash flow and ability to make distributions to our common unitholders could be adversely affected.</w:t>
      </w:r>
    </w:p>
    <w:p>
      <w:pPr>
        <w:spacing w:after="0" w:line="18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depend upon third-party pipelines and associated operations to provide delivery options from our pipelines. Because we do not control these pipelines and associated operations, their continuing operation is not within our control. If any pipeline were to become unavailable for current or future volumes of crude oil or refined products due to repairs, damage to the facility, lack of capacity, shut in by regulators or any other reason, or if the volumes we gather or transport do not meet the quality requirements of such pipelines or facilities, our business, financial condition, results of operations, cash flow and ability to make distributions to our common unitholders could be adversely affected.</w:t>
      </w:r>
    </w:p>
    <w:p>
      <w:pPr>
        <w:spacing w:after="0" w:line="19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Increased competition from other companies that provide midstream services, or from alternative fuel sources, could have a negative impact on the demand for our services, which could adversely affect our financial results.</w:t>
      </w:r>
    </w:p>
    <w:p>
      <w:pPr>
        <w:spacing w:after="0" w:line="20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Our systems compete for third party customers primarily with other crude oil and natural gas gathering systems and sourced and produced water service providers. Some of our competitors have greater financial resources and may now, or in the future, have access to greater supplies of crude oil, natural gas and sourced water than we do. Some of these competitors may expand or construct gathering systems that would create additional competition for the services we would provide to third party customers. In addition, potential third party customers may develop their own gathering systems instead of using ours. Moreover, Diamondback and its affiliates are not limited in their ability to compete with us, except with respect to the Acreage Dedications contained in our commercial agreements. Further, hydrocarbon fuels compete with other forms of energy available to end-users, including electricity and coal. Increased demand for such other forms of energy at the expense of hydrocarbons could lead to a reduction in demand for our services. All of these competitive pressures could make it more difficult for us to attract new customers as we seek to expand our business, which could have a material adverse effect on our business, financial condition, results of operations and ability to make quarterly cash distributions to our common unitholders.</w:t>
      </w:r>
    </w:p>
    <w:p>
      <w:pPr>
        <w:spacing w:after="0" w:line="19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b w:val="1"/>
          <w:bCs w:val="1"/>
          <w:i w:val="1"/>
          <w:iCs w:val="1"/>
          <w:color w:val="auto"/>
        </w:rPr>
        <w:t>Our construction of new midstream assets or the acquisitions of assets or businesses may not result in revenue increases and may be subject to regulatory, environmental, political, contractual, legal and economic risks, which could adversely affect our cash flow, results of operations and financial condition and, as a result, our ability to distribute cash to unitholders.</w:t>
      </w:r>
    </w:p>
    <w:p>
      <w:pPr>
        <w:spacing w:after="0" w:line="215"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construction of additions or modifications to our existing systems and the expansion into new production areas to service Diamondback involve numerous regulatory, environmental, political, contractual, legal and economic uncertainties beyond our control. For instance, we may not be able to construct in certain locations due to setback requirements, expand certain facilities that are deemed to be part of a single source or aggregate crude oil and natural gas production facility emissions according to permitting requirements. As a result, we may not be able to complete such projects on schedule, at the budgeted cost or at all. Similarly, if we build additional gathering assets, the construction may occur over an extended period of time or occur in an area where anticipated growth does not materialize. In either case, we may not receive any material increases in revenues or achieve our expected investment return. Further the construction of additions to our existing assets may require us to obtain new rights-of-way, surface use agreements or other real estate agreements prior to constructing new pipelines or facilities. We may be unable to timely obtain such rights-of-way to connect new crude oil and water sources to our existing infrastructure, obtain them in a cost-efficient manner or capitalize on other attractive expansion opportunities.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Acquisitions of assets or businesses may require the expenditure of significant amounts of capital and involve potential risks that may disrupt our business, including the following, among other things: mistaken assumptions about volumes or the timing of those volumes, revenues or costs, including synergies; an inability to successfully integrate the acquired assets or businesses; the assumption of unknown liabilities, including exposure to potential lawsuits; limitations on rights to indemnity from the seller; the diversion of management’s and employees’ attention from other business concerns; unforeseen difficulties operating in new geographic areas; and customer or key employee losses at the acquired businesses.</w:t>
      </w:r>
    </w:p>
    <w:p>
      <w:pPr>
        <w:spacing w:after="0" w:line="191" w:lineRule="exact"/>
        <w:rPr>
          <w:sz w:val="20"/>
          <w:szCs w:val="20"/>
          <w:color w:val="auto"/>
        </w:rPr>
      </w:pPr>
    </w:p>
    <w:p>
      <w:pPr>
        <w:ind w:right="60" w:firstLine="632"/>
        <w:spacing w:after="0" w:line="250" w:lineRule="auto"/>
        <w:rPr>
          <w:sz w:val="20"/>
          <w:szCs w:val="20"/>
          <w:color w:val="auto"/>
        </w:rPr>
      </w:pPr>
      <w:r>
        <w:rPr>
          <w:rFonts w:ascii="Arial" w:cs="Arial" w:eastAsia="Arial" w:hAnsi="Arial"/>
          <w:sz w:val="18"/>
          <w:szCs w:val="18"/>
          <w:b w:val="1"/>
          <w:bCs w:val="1"/>
          <w:i w:val="1"/>
          <w:iCs w:val="1"/>
          <w:color w:val="auto"/>
        </w:rPr>
        <w:t>We, Diamondback or any third party customers may incur significant liability under, or costs and expenditures to comply with, a broad range of federal, state and local regulations, including those relating to environmental, commerce, transportation and health and safety matters, which are complex and subject to frequent change. We are subject to regulation by multiple governmental agencies, which could adversely impact our business, financial condition and results of operations.</w:t>
      </w:r>
    </w:p>
    <w:p>
      <w:pPr>
        <w:spacing w:after="0" w:line="218"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As an owner and operator of gathering systems, we are directly or indirectly subject to regulation by multiple federal, state and local governmental agencies. Risks and uncertainties related to such regulation include:</w:t>
      </w:r>
    </w:p>
    <w:p>
      <w:pPr>
        <w:spacing w:after="0" w:line="312" w:lineRule="exact"/>
        <w:rPr>
          <w:sz w:val="20"/>
          <w:szCs w:val="20"/>
          <w:color w:val="auto"/>
        </w:rPr>
      </w:pPr>
    </w:p>
    <w:p>
      <w:pPr>
        <w:jc w:val="both"/>
        <w:ind w:left="640" w:hanging="318"/>
        <w:spacing w:after="0" w:line="297"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historic trend of more expansive and stricter environmental laws and regulations, including those related to GHGs and climate change, air quality, water quality, the storage, treatment and disposal of waste, including produced water, protection of endangered or threatened species, and the remediation of contaminated soil and groundwater, may continue in the long-term potentially resulting in increased costs of doing business;</w:t>
      </w:r>
    </w:p>
    <w:p>
      <w:pPr>
        <w:spacing w:after="0" w:line="1" w:lineRule="exact"/>
        <w:rPr>
          <w:rFonts w:ascii="Arial" w:cs="Arial" w:eastAsia="Arial" w:hAnsi="Arial"/>
          <w:sz w:val="16"/>
          <w:szCs w:val="16"/>
          <w:color w:val="auto"/>
        </w:rPr>
      </w:pPr>
    </w:p>
    <w:p>
      <w:pPr>
        <w:ind w:left="640" w:hanging="318"/>
        <w:spacing w:after="0" w:line="26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rates charged for gathering service over our regulated crude oil assets are subject to review and reporting by FERC and the RRC, which could adversely affect our revenues;</w:t>
      </w:r>
    </w:p>
    <w:p>
      <w:pPr>
        <w:spacing w:after="0" w:line="22"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by FERC in policy or the jurisdictional characterization of some of our assets may result in increased regulation of our assets, which may cause our operating expenses to increase, limit the rates we charge for certain services and decrease the amount of cash we have available for distribution;</w:t>
      </w:r>
    </w:p>
    <w:p>
      <w:pPr>
        <w:spacing w:after="0" w:line="30" w:lineRule="exact"/>
        <w:rPr>
          <w:rFonts w:ascii="Arial" w:cs="Arial" w:eastAsia="Arial" w:hAnsi="Arial"/>
          <w:sz w:val="18"/>
          <w:szCs w:val="18"/>
          <w:color w:val="auto"/>
        </w:rPr>
      </w:pPr>
    </w:p>
    <w:p>
      <w:pPr>
        <w:ind w:left="640" w:hanging="318"/>
        <w:spacing w:after="0" w:line="309"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ind w:left="640" w:hanging="318"/>
        <w:spacing w:after="0" w:line="309"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regulation of hydraulic fracturing could result in reductions or delays in crude oil and natural gas production by Diamondback and our other customers, which could reduce the throughput on our gathering and other midstream systems, which could adversely impact our revenues;</w:t>
      </w:r>
    </w:p>
    <w:p>
      <w:pPr>
        <w:ind w:left="640" w:hanging="318"/>
        <w:spacing w:after="0" w:line="26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intended to address seismic activity could restrict our ability to dispose of produced water gathered from Diamondback and our other customers, which could have a material adverse effect on our business;</w:t>
      </w:r>
    </w:p>
    <w:p>
      <w:pPr>
        <w:spacing w:after="0" w:line="22"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 laws and regulations restricting emissions of GHGs could result in increased operating costs and reduced demand for the crude oil that we gather while potential physical effects of climate change could disrupt Diamondback’s and our other customers’ production and cause us to incur significant costs in preparing for or responding to those effects; and</w:t>
      </w:r>
    </w:p>
    <w:p>
      <w:pPr>
        <w:spacing w:after="0" w:line="30"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plant or animal species are or could be designated as endangered or threatened, which could have a material impact on our and Diamondback’s operations.</w:t>
      </w:r>
    </w:p>
    <w:p>
      <w:pPr>
        <w:spacing w:after="0" w:line="259" w:lineRule="exact"/>
        <w:rPr>
          <w:sz w:val="20"/>
          <w:szCs w:val="20"/>
          <w:color w:val="auto"/>
        </w:rPr>
      </w:pPr>
    </w:p>
    <w:p>
      <w:pPr>
        <w:jc w:val="both"/>
        <w:ind w:firstLine="632"/>
        <w:spacing w:after="0" w:line="247" w:lineRule="auto"/>
        <w:rPr>
          <w:rFonts w:ascii="Arial" w:cs="Arial" w:eastAsia="Arial" w:hAnsi="Arial"/>
          <w:sz w:val="18"/>
          <w:szCs w:val="18"/>
          <w:color w:val="0000FF"/>
        </w:rPr>
      </w:pPr>
      <w:r>
        <w:rPr>
          <w:rFonts w:ascii="Arial" w:cs="Arial" w:eastAsia="Arial" w:hAnsi="Arial"/>
          <w:sz w:val="18"/>
          <w:szCs w:val="18"/>
          <w:color w:val="auto"/>
        </w:rPr>
        <w:t xml:space="preserve">Proposals and proceedings that affect the midstream industry are regularly considered by Congress, as well as by state legislatures and federal and state regulatory commissions, agencies and courts. We cannot predict when or whether any such proposals or proceedings may become effective or the magnitude of the impact changes in laws and regulations may have on our business. However, additions to the regulatory burden on our industry can increase </w:t>
      </w:r>
      <w:hyperlink w:anchor="page7">
        <w:r>
          <w:rPr>
            <w:rFonts w:ascii="Arial" w:cs="Arial" w:eastAsia="Arial" w:hAnsi="Arial"/>
            <w:sz w:val="18"/>
            <w:szCs w:val="18"/>
            <w:color w:val="auto"/>
          </w:rPr>
          <w:t>our cost of doing business and adversely impact our business, financial condition, results of operations and cash available for distributions. See “</w:t>
        </w:r>
        <w:r>
          <w:rPr>
            <w:rFonts w:ascii="Arial" w:cs="Arial" w:eastAsia="Arial" w:hAnsi="Arial"/>
            <w:sz w:val="18"/>
            <w:szCs w:val="18"/>
            <w:u w:val="single" w:color="auto"/>
            <w:color w:val="0000FF"/>
          </w:rPr>
          <w:t>Items 1 and 2.</w:t>
        </w:r>
      </w:hyperlink>
      <w:r>
        <w:rPr>
          <w:rFonts w:ascii="Arial" w:cs="Arial" w:eastAsia="Arial" w:hAnsi="Arial"/>
          <w:sz w:val="18"/>
          <w:szCs w:val="18"/>
          <w:color w:val="auto"/>
        </w:rPr>
        <w:t xml:space="preserve"> </w:t>
      </w:r>
      <w:hyperlink w:anchor="page7">
        <w:r>
          <w:rPr>
            <w:rFonts w:ascii="Arial" w:cs="Arial" w:eastAsia="Arial" w:hAnsi="Arial"/>
            <w:sz w:val="18"/>
            <w:szCs w:val="18"/>
            <w:u w:val="single" w:color="auto"/>
            <w:color w:val="0000FF"/>
          </w:rPr>
          <w:t>Business and Properties-Regulation</w:t>
        </w:r>
        <w:r>
          <w:rPr>
            <w:rFonts w:ascii="Arial" w:cs="Arial" w:eastAsia="Arial" w:hAnsi="Arial"/>
            <w:sz w:val="18"/>
            <w:szCs w:val="18"/>
            <w:color w:val="000000"/>
          </w:rPr>
          <w:t>” included elsewhere in this Annual Report for a description of certain laws and regulations that affect or could affect our</w:t>
        </w:r>
      </w:hyperlink>
      <w:r>
        <w:rPr>
          <w:rFonts w:ascii="Arial" w:cs="Arial" w:eastAsia="Arial" w:hAnsi="Arial"/>
          <w:sz w:val="18"/>
          <w:szCs w:val="18"/>
          <w:color w:val="0000FF"/>
        </w:rPr>
        <w:t xml:space="preserve"> </w:t>
      </w:r>
      <w:r>
        <w:rPr>
          <w:rFonts w:ascii="Arial" w:cs="Arial" w:eastAsia="Arial" w:hAnsi="Arial"/>
          <w:sz w:val="18"/>
          <w:szCs w:val="18"/>
          <w:color w:val="000000"/>
        </w:rPr>
        <w:t>operations.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Changes in environmental laws could increase our or our operators’ costs and adversely impact our business, financial condition and cash flows.</w:t>
      </w:r>
    </w:p>
    <w:p>
      <w:pPr>
        <w:spacing w:after="0" w:line="27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President Biden has indicated that he is supportive of, and has issued executive orders promoting various programs and initiatives designed to, among other things, curtail climate change, control the release of methane from new and existing oil and natural gas operations, and decarbonize electric generation and the transportation sector. It remains unclear what additional actions President Biden will take and what support he will have for any potential legislative changes from Congress. Further, 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 uncertain to what extent any new environmental laws or regulations, or any repeal of existing environmental laws or regulations, may affect our or our operators’ business. However, such actions could significantly increase our operators’ costs or impair their ability to explore and develop other projects, which could adversely impact our business, financial condition and cash flows.</w:t>
      </w:r>
    </w:p>
    <w:p>
      <w:pPr>
        <w:spacing w:after="0" w:line="215" w:lineRule="exact"/>
        <w:rPr>
          <w:sz w:val="20"/>
          <w:szCs w:val="20"/>
          <w:color w:val="auto"/>
        </w:rPr>
      </w:pPr>
    </w:p>
    <w:p>
      <w:pPr>
        <w:ind w:right="120" w:firstLine="632"/>
        <w:spacing w:after="0" w:line="253" w:lineRule="auto"/>
        <w:rPr>
          <w:sz w:val="20"/>
          <w:szCs w:val="20"/>
          <w:color w:val="auto"/>
        </w:rPr>
      </w:pPr>
      <w:r>
        <w:rPr>
          <w:rFonts w:ascii="Arial" w:cs="Arial" w:eastAsia="Arial" w:hAnsi="Arial"/>
          <w:sz w:val="18"/>
          <w:szCs w:val="18"/>
          <w:b w:val="1"/>
          <w:bCs w:val="1"/>
          <w:i w:val="1"/>
          <w:iCs w:val="1"/>
          <w:color w:val="auto"/>
        </w:rPr>
        <w:t>Our business involves many hazards and operational risks, some of which may not be fully covered by insurance. The occurrence of a significant accident or other event that is not fully insured could curtail our operations and have a material adverse effect on our ability to make cash distributions and, accordingly, the market price for our common units.</w:t>
      </w:r>
    </w:p>
    <w:p>
      <w:pPr>
        <w:spacing w:after="0" w:line="215" w:lineRule="exact"/>
        <w:rPr>
          <w:sz w:val="20"/>
          <w:szCs w:val="20"/>
          <w:color w:val="auto"/>
        </w:rPr>
      </w:pPr>
    </w:p>
    <w:p>
      <w:pPr>
        <w:jc w:val="both"/>
        <w:ind w:firstLine="632"/>
        <w:spacing w:after="0" w:line="304" w:lineRule="auto"/>
        <w:rPr>
          <w:sz w:val="20"/>
          <w:szCs w:val="20"/>
          <w:color w:val="auto"/>
        </w:rPr>
      </w:pPr>
      <w:r>
        <w:rPr>
          <w:rFonts w:ascii="Arial" w:cs="Arial" w:eastAsia="Arial" w:hAnsi="Arial"/>
          <w:sz w:val="15"/>
          <w:szCs w:val="15"/>
          <w:color w:val="auto"/>
        </w:rPr>
        <w:t>Our operations are subject to all of the hazards inherent in the gathering of crude oil and produced water and the delivery and storage of sourced water, including: damage to pipelines, centralized gathering facilities, pump stations, related equipment and surrounding properties caused by design, installation, construction materials or operational flaws, natural disasters, acts of terrorism or acts of third parties; leaks of crude oil or NGLs or losses of crude oil or NGLs as a result of the malfunction of, or other disruptions associated with, equipment or facilities; fires, ruptures and explosions; and other hazards that could also result in personal injury and loss of life, pollution and suspension of operations. Any of these risks could adversely affect our ability to conduct operations or result in substantial loss to us as a result of claims for; injury or loss of life; damage to and destruction of property, natural resources and equipment; pollution and other environmental damage; regulatory investigations and penalties; suspension of our operations; and repair and remediation costs.</w:t>
      </w:r>
    </w:p>
    <w:p>
      <w:pPr>
        <w:spacing w:after="0" w:line="196"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may elect not to obtain insurance for any or all of these risks if we believe that the cost of available insurance is excessive relative to the risks presented. In addition, pollution and environmental risks generally are not fully insurable. The occurrence of an event that is not fully covered by insurance could have a material adverse effect on our business, financial condition, results of operations, cash flow and ability to make cash distributions.</w:t>
      </w:r>
    </w:p>
    <w:p>
      <w:pPr>
        <w:spacing w:after="0" w:line="18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A shortage of equipment and skilled labor could reduce equipment availability and labor productivity and increase labor and equipment costs, which could have a material adverse effect on our business and results of operations.</w:t>
      </w:r>
    </w:p>
    <w:p>
      <w:pPr>
        <w:spacing w:after="0" w:line="20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Our gathering and other midstream services require special equipment and laborers who are skilled in multiple disciplines, such as equipment operators, mechanics and engineers, among others. If we experience shortages of necessary equipment or skilled labor in the future, our labor and equipment costs could increase and our business and results of operations could be materially and adversely affected.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loss of key personnel could adversely affect our ability to operate.</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depend on the services of a relatively small group of individuals, all of whom are employees of Diamondback and provide services to us pursuant to the services and secondment agreement. We do not maintain, nor do we plan to obtain, any insurance against the loss of any of these individuals. The loss of the services of these individuals who represent all of our General Partner’s senior management could have a material adverse effect on our business, financial condition, results of operations, cash flow and ability to make cash distributions.</w:t>
      </w:r>
    </w:p>
    <w:p>
      <w:pPr>
        <w:spacing w:after="0" w:line="18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b w:val="1"/>
          <w:bCs w:val="1"/>
          <w:i w:val="1"/>
          <w:iCs w:val="1"/>
          <w:color w:val="auto"/>
        </w:rPr>
        <w:t>Neither we, the Operating Company nor our General Partner has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15"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Neither we, the Holding Company, the Operating Company nor our General Partner has any employees, and we rely solely on Diamondback to operate our assets and perform other management, administrative and operating services for us and our General Partner. Because Diamondback provides services to us that are similar to those performed for itself and its affiliates, Diamondback may not have sufficient human, technical and other resources to provide those services at a level it would otherwise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common unitholders may be reduced.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b w:val="1"/>
          <w:bCs w:val="1"/>
          <w:i w:val="1"/>
          <w:iCs w:val="1"/>
          <w:color w:val="auto"/>
        </w:rPr>
        <w:t>In the future we may face increased obligations relating to the closing of our produced water facilities and may be required to provide an increased level of financial assurance to guaranty the appropriate closure activities occur for a produced water facility.</w:t>
      </w:r>
    </w:p>
    <w:p>
      <w:pPr>
        <w:spacing w:after="0" w:line="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Obtaining a permit to own or operate produced water facilities generally requires us to establish performance bonds, letters of credit or other forms of financial assurance to address clean-up and closure obligations. As we acquire additional produced water facilities or expand our existing produced water facilities, these obligations will increase. Additionally, in the future, regulatory agencies may require us to increase the amount of our closure bonds at existing produced water facilities. We have accrued approximately $17.0 million on our balance sheet related to our future closure obligations of our produced water facilities and oil gathering systems as of December 31, 2021. However, actual costs could exceed our current expectations, as a result of, among other things, federal, state or local government regulatory action, increased costs charged by service providers that assist in closing produced water facilities and additional environmental remediation requirements. The obligation to satisfy increased regulatory requirements associated with our produced water facilities could result in an increase of our operating costs and affect our ability to make distributions to our common unitholders.</w:t>
      </w:r>
    </w:p>
    <w:p>
      <w:pPr>
        <w:spacing w:after="0" w:line="201" w:lineRule="exact"/>
        <w:rPr>
          <w:sz w:val="20"/>
          <w:szCs w:val="20"/>
          <w:color w:val="auto"/>
        </w:rPr>
      </w:pPr>
    </w:p>
    <w:p>
      <w:pPr>
        <w:ind w:right="140" w:firstLine="632"/>
        <w:spacing w:after="0" w:line="262" w:lineRule="auto"/>
        <w:rPr>
          <w:sz w:val="20"/>
          <w:szCs w:val="20"/>
          <w:color w:val="auto"/>
        </w:rPr>
      </w:pPr>
      <w:r>
        <w:rPr>
          <w:rFonts w:ascii="Arial" w:cs="Arial" w:eastAsia="Arial" w:hAnsi="Arial"/>
          <w:sz w:val="18"/>
          <w:szCs w:val="18"/>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20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41"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crude oil and natural gas, potentially putting downward pressure on demand for our services and causing a reduction in our revenues. Crude oil and natural gas related facilities could be direct targets of terrorist attacks, and our operations could be adversely impacted if infrastructure integral to our operations is destroyed or damaged. Costs for insurance and other security may increase as a result of these threats, and some insurance coverage may become more difficult to obtain, if available at all.</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cyber incident could result in information theft, data corruption, operational disruption and/or financial loss.</w:t>
      </w:r>
    </w:p>
    <w:p>
      <w:pPr>
        <w:spacing w:after="0" w:line="241"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The oil and natural gas industry has become increasingly dependent on digital technologies to conduct day-to-day operations including certain midstream activities. We depend on digital technology, including information systems and related infrastructure as well as cloud applications and services, to manage gathering and transportation systems, process and record financial and operating data and to communicate with the employees of Diamondback and our business service providers. The technologies needed to conduct midstream activities make certain information the target of theft or misappropriation. As dependence on digital technologies has increased, cyber incidents, including deliberate attacks or unintentional events, also has increased. A cyber incident involving our information systems and related infrastructure, or that of our business service providers, could disrupt our business plans and negatively impact our operations. Our implementation of various controls and processes, including globally incorporating a risk-based cyber security framework, to monitor and mitigate security threats and to increase security for our information, facilities and infrastructure is costly and labor intensive. Moreover, there can be no assurance that such measures will be sufficient to prevent security breaches from occurring. As cyber threats continue to evolve, we may be required to expend significant additional resources to continue to modify or enhance our protective measures or to investigate and remediate any information security vulnerabilities.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and the price of our common units.</w:t>
      </w:r>
    </w:p>
    <w:p>
      <w:pPr>
        <w:spacing w:after="0" w:line="154"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Our assets include interests in certain pipeline projects and other joint ventures. If a sufficient amount of our assets, such as our ownership interests in other midstream ventures, now owned or in the future acquired, are deemed to be “investment securities” within the meaning of the Investment Company Act of 1940, we may have to register as an “investment company” under the Investment Company Act, claim an exemption, obtain exemptive relief from the SEC or modify our organizational structure or our contract rights. Registering as an “investment company” could, among other things, materially limit our ability to engage in transactions with affiliates, including the purchase and sale of certain securities or other property to or from our affiliates, restrict our ability to borrow funds or engage in other transactions involving leverage, and require us to add additional directors who are independent of us or our affiliates. The occurrence of some of these events would adversely affect the price of our common units and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b w:val="1"/>
          <w:bCs w:val="1"/>
          <w:i w:val="1"/>
          <w:iCs w:val="1"/>
          <w:color w:val="auto"/>
        </w:rPr>
        <w:t>We have in the past incurred, and we expect in the future to continue to incur, borrowings under the Operating Company’s revolving credit facility. Unless we are able to repay borrowings under the revolving credit facility with cash flow from operations or other sources, including proceeds from equity and debt offerings, implementing our capital programs may require an increase in our total leverage through additional debt issuances. In addition, a reduction in availability under the revolving credit facility and the inability to otherwise obtain financing for our capital programs could require us to curtail our capital expenditures.</w:t>
      </w:r>
    </w:p>
    <w:p>
      <w:pPr>
        <w:spacing w:after="0" w:line="222"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As a result of our cash distribution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194" w:lineRule="exact"/>
        <w:rPr>
          <w:sz w:val="20"/>
          <w:szCs w:val="20"/>
          <w:color w:val="auto"/>
        </w:rPr>
      </w:pPr>
    </w:p>
    <w:p>
      <w:pPr>
        <w:ind w:right="320" w:firstLine="632"/>
        <w:spacing w:after="0" w:line="262" w:lineRule="auto"/>
        <w:rPr>
          <w:sz w:val="20"/>
          <w:szCs w:val="20"/>
          <w:color w:val="auto"/>
        </w:rPr>
      </w:pPr>
      <w:r>
        <w:rPr>
          <w:rFonts w:ascii="Arial" w:cs="Arial" w:eastAsia="Arial" w:hAnsi="Arial"/>
          <w:sz w:val="18"/>
          <w:szCs w:val="18"/>
          <w:b w:val="1"/>
          <w:bCs w:val="1"/>
          <w:i w:val="1"/>
          <w:iCs w:val="1"/>
          <w:color w:val="auto"/>
        </w:rPr>
        <w:t>Restrictive covenants in the Operating Company’s revolving credit facility, the indenture governing the Notes and future debt instruments may limit our ability to respond to changes in market conditions or pursue business opportunities.</w:t>
      </w:r>
    </w:p>
    <w:p>
      <w:pPr>
        <w:spacing w:after="0" w:line="207" w:lineRule="exact"/>
        <w:rPr>
          <w:sz w:val="20"/>
          <w:szCs w:val="20"/>
          <w:color w:val="auto"/>
        </w:rPr>
      </w:pPr>
    </w:p>
    <w:p>
      <w:pPr>
        <w:jc w:val="both"/>
        <w:ind w:firstLine="537"/>
        <w:spacing w:after="0" w:line="247" w:lineRule="auto"/>
        <w:rPr>
          <w:sz w:val="20"/>
          <w:szCs w:val="20"/>
          <w:color w:val="auto"/>
        </w:rPr>
      </w:pPr>
      <w:r>
        <w:rPr>
          <w:rFonts w:ascii="Arial" w:cs="Arial" w:eastAsia="Arial" w:hAnsi="Arial"/>
          <w:sz w:val="18"/>
          <w:szCs w:val="18"/>
          <w:color w:val="auto"/>
        </w:rPr>
        <w:t>The Operating Company’s revolving credit facility and the indenture governing our outstanding Notes contain, and the terms of any future indebtedness may contain, restrictive covenants that limit our and the Operating Company’s ability to, among other things: incur or guarantee additional debt; redeem or repurchase units or make distributions under certain circumstances; make certain investments and acquisitions; incur certain liens or permit them to exist; issue redeemable equity; voluntarily redeem or prepay debt, including the Notes; enter into certain types of transactions with affiliates; designate certain of our subsidiaries as unrestricted subsidiaries; create unrestricted subsidiaries; sell or discount receivables; merge or consolidate with another company; and transfer, sell or otherwise dispose of assets.</w:t>
      </w:r>
    </w:p>
    <w:p>
      <w:pPr>
        <w:spacing w:after="0" w:line="224"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may be prevented from taking advantage of business opportunities that arise because of the limitations imposed on us and the Operating Company by the restrictive covenants contained in the revolving credit facility and the indenture that governs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91"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revolving credit facility and the Notes were to be accelerated, we cannot assure you that our assets would be sufficient to repay in full that indebtedness.</w:t>
      </w:r>
    </w:p>
    <w:p>
      <w:pPr>
        <w:spacing w:after="0" w:line="207" w:lineRule="exact"/>
        <w:rPr>
          <w:sz w:val="20"/>
          <w:szCs w:val="20"/>
          <w:color w:val="auto"/>
        </w:rPr>
      </w:pPr>
    </w:p>
    <w:p>
      <w:pPr>
        <w:ind w:right="700" w:firstLine="632"/>
        <w:spacing w:after="0" w:line="262"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207"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The Operating Company’s revolving credit facility and the indenture governing our outstanding Notes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00" w:lineRule="exact"/>
        <w:rPr>
          <w:sz w:val="20"/>
          <w:szCs w:val="20"/>
          <w:color w:val="auto"/>
        </w:rPr>
      </w:pPr>
    </w:p>
    <w:p>
      <w:pPr>
        <w:ind w:right="240" w:firstLine="632"/>
        <w:spacing w:after="0" w:line="262"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20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liquidity, asset quality and cost structure. A ratings downgrade could adversely impact our ability to access financings or trade credit and increase our or the Operating Company’s borrowing costs.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The terms of the Operating Company’s credit agreement provide for interest at a per annum rate that is based on the prime rate or LIBOR, in each case plus an applicable margin. LIBOR tends to fluctuate based on multiple facts, including general short-term interest rates, rates set by the U.S. Federal Reserve, which has indicated plans for multiple rate increases in 2022,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If interest rates increase, our results of operations, cash flow and financial condition and, as a result, our ability to make cash distributions to our common unitholders, could be materially adversely affected by significant increases in interest rates.</w:t>
      </w:r>
    </w:p>
    <w:p>
      <w:pPr>
        <w:spacing w:after="0" w:line="208"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6"/>
          <w:szCs w:val="16"/>
          <w:color w:val="auto"/>
        </w:rPr>
        <w:t>On July 27, 2017, the U.K. Financial Conduct Authority (the authority that regulates LIBOR), which we refer to as the FCA, announced that it intends to stop compelling banks to submit rates for the calculation of LIBOR after 2021. On March 5, 2021, the ICE Benchmark Administration, which administers LIBOR, and the FCA announced that all LIBOR settings will either cease to be provided by any administrator, or no longer be representative immediately after 2021, for all non-U.S. dollar LIBOR settings and one-week and two-month U.S. dollar LIBOR settings, and immediately after June 30, 2023 for the remaining U.S. dollar LIBOR settings. In light of these announcements, the future of LIBOR at this time is uncertain and any changes in the methods by which LIBOR is determined or regulatory activity related to LIBOR’s phase-out could cause LIBOR to perform differently than in the past or cease to exist. Our current credit agreement provides for any changes away from LIBOR to a successor rate to be based on prevailing or equivalent standards, however, changes in the method of calculating LIBOR, or the discontinuation, reform, or replacement of LIBOR or any other benchmark rates may adversely affect interest rates and result in higher borrowing costs. This could materially and adversely affect our results of operations, cash flow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common unitholders.</w:t>
      </w:r>
    </w:p>
    <w:p>
      <w:pPr>
        <w:spacing w:after="0" w:line="21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that is in the best interests of Diamondback. Therefore, conflicts of interest may arise between Diamondback or any of its affiliates, including our General Partner, on the one hand, and us and/or any of our common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21" w:lineRule="exact"/>
        <w:rPr>
          <w:sz w:val="20"/>
          <w:szCs w:val="20"/>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Diamondback, in exercising certain rights under our partnership agreement;</w:t>
      </w:r>
    </w:p>
    <w:p>
      <w:pPr>
        <w:spacing w:after="0" w:line="61"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Diamondback and other affiliates of our General Partner may compete with us as neither our partnership agreement nor any other agreement requires Diamondback to pursue a business strategy that favors us;</w:t>
      </w:r>
    </w:p>
    <w:p>
      <w:pPr>
        <w:spacing w:after="0" w:line="22"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w:t>
      </w:r>
    </w:p>
    <w:p>
      <w:pPr>
        <w:spacing w:after="0" w:line="22" w:lineRule="exact"/>
        <w:rPr>
          <w:rFonts w:ascii="Arial" w:cs="Arial" w:eastAsia="Arial" w:hAnsi="Arial"/>
          <w:sz w:val="18"/>
          <w:szCs w:val="18"/>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partnership agreement limits our General Partner’s liabilities and restricts the remedies available to holders of our common units for actions taken by our General Partner that might otherwise constitute breaches of fiduciary duty;</w:t>
      </w:r>
    </w:p>
    <w:p>
      <w:pPr>
        <w:spacing w:after="0" w:line="22"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in limited circumstances, our General Partner has the power and authority to conduct our business without unitholder approval;</w:t>
      </w:r>
    </w:p>
    <w:p>
      <w:pPr>
        <w:spacing w:after="0" w:line="79" w:lineRule="exact"/>
        <w:rPr>
          <w:rFonts w:ascii="Arial" w:cs="Arial" w:eastAsia="Arial" w:hAnsi="Arial"/>
          <w:sz w:val="16"/>
          <w:szCs w:val="16"/>
          <w:color w:val="auto"/>
        </w:rPr>
      </w:pPr>
    </w:p>
    <w:p>
      <w:pPr>
        <w:ind w:left="64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cash reserves, each of which can affect the amount of cash that is distributed to our common unitholders;</w:t>
      </w:r>
    </w:p>
    <w:p>
      <w:pPr>
        <w:spacing w:after="0" w:line="22" w:lineRule="exact"/>
        <w:rPr>
          <w:rFonts w:ascii="Arial" w:cs="Arial" w:eastAsia="Arial" w:hAnsi="Arial"/>
          <w:sz w:val="18"/>
          <w:szCs w:val="18"/>
          <w:color w:val="auto"/>
        </w:rPr>
      </w:pPr>
    </w:p>
    <w:p>
      <w:pPr>
        <w:ind w:left="640" w:hanging="318"/>
        <w:spacing w:after="0" w:line="309" w:lineRule="auto"/>
        <w:tabs>
          <w:tab w:leader="none" w:pos="6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reimbursements, which are determined in our General Partner’s sole discretion, and fees due our General Partner and its affiliates for services provided may be substantial and will reduce the amount of cash we have available for distribution to our common unitholders;</w:t>
      </w:r>
    </w:p>
    <w:p>
      <w:pPr>
        <w:ind w:left="640" w:hanging="318"/>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contracts between us, on the one hand, and our General Partner and its affiliates, on the other hand, will not be the result of arm’s-length negotiations;</w:t>
      </w:r>
    </w:p>
    <w:p>
      <w:pPr>
        <w:spacing w:after="0" w:line="90" w:lineRule="exact"/>
        <w:rPr>
          <w:rFonts w:ascii="Arial" w:cs="Arial" w:eastAsia="Arial" w:hAnsi="Arial"/>
          <w:sz w:val="15"/>
          <w:szCs w:val="15"/>
          <w:color w:val="auto"/>
        </w:rPr>
      </w:pPr>
    </w:p>
    <w:p>
      <w:pPr>
        <w:ind w:left="640" w:right="20" w:hanging="318"/>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22"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common unitholders have no right to enforce the obligations of our General Partner and its affiliates under agreements with us; and</w:t>
      </w:r>
    </w:p>
    <w:p>
      <w:pPr>
        <w:spacing w:after="0" w:line="56" w:lineRule="exact"/>
        <w:rPr>
          <w:rFonts w:ascii="Arial" w:cs="Arial" w:eastAsia="Arial" w:hAnsi="Arial"/>
          <w:sz w:val="18"/>
          <w:szCs w:val="18"/>
          <w:color w:val="auto"/>
        </w:rPr>
      </w:pPr>
    </w:p>
    <w:p>
      <w:pPr>
        <w:ind w:left="640" w:hanging="31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294" w:lineRule="exact"/>
        <w:rPr>
          <w:sz w:val="20"/>
          <w:szCs w:val="20"/>
          <w:color w:val="auto"/>
        </w:rPr>
      </w:pPr>
    </w:p>
    <w:p>
      <w:pPr>
        <w:jc w:val="both"/>
        <w:ind w:firstLine="949"/>
        <w:spacing w:after="0" w:line="262" w:lineRule="auto"/>
        <w:rPr>
          <w:sz w:val="20"/>
          <w:szCs w:val="20"/>
          <w:color w:val="auto"/>
        </w:rPr>
      </w:pPr>
      <w:r>
        <w:rPr>
          <w:rFonts w:ascii="Arial" w:cs="Arial" w:eastAsia="Arial" w:hAnsi="Arial"/>
          <w:sz w:val="18"/>
          <w:szCs w:val="18"/>
          <w:color w:val="auto"/>
        </w:rPr>
        <w:t>By purchasing a common unit, a unitholder is treated as having consented to the provisions in our partnership agreement, including being subject to the risks discussed above.</w:t>
      </w:r>
    </w:p>
    <w:p>
      <w:pPr>
        <w:spacing w:after="0" w:line="25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Our General Partner may exercise its right to call and purchase common units if it and its affiliates own more than 80% of the common units and Class B units, taken together and such right may be exercised at an undesirable time or price.</w:t>
      </w:r>
    </w:p>
    <w:p>
      <w:pPr>
        <w:spacing w:after="0" w:line="20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If at any time our General Partner and its affiliates own more than 80% of our common units, our General Partner will have the right, which it may assign to any of its affiliates or to us, but not the obligation, to acquire all, but not less than all, of the common units held by unaffiliated persons at a price equal to the greater of (i) the average of the daily closing price of our common units over the 20 consecutive trading days preceding the date three days before notice of exercise of the call right is first mailed and (ii)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its call right. If our General Partner exercised its limited call right, the effect would be to take us private and, if the units were subsequently deregistered, we would no longer be subject to the reporting requirements of the Exchange Act and our common units will no longer be listed or traded on the Nasdaq Global Select Market. As of February 18, 2022, Diamondback owned all of our 107,815,152 outstanding Class B units, together with the same number of Operating Company units, which are exchangeable from time to time, at Diamondback’s discretion, for common units. Such units represent approximately 74% of our total units outstanding.</w:t>
      </w:r>
    </w:p>
    <w:p>
      <w:pPr>
        <w:spacing w:after="0" w:line="22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or remove our General Partner without its consent, even if they are dissatisfied.</w:t>
      </w:r>
    </w:p>
    <w:p>
      <w:pPr>
        <w:spacing w:after="0" w:line="20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Unlike the holders of common stock in a corporation, common unitholders have only limited voting rights on matters affecting our business and, therefore, limited ability to influence management’s decisions regarding our business. Common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common unitholders. Unlike publicly traded corporations, we do not conduct annual meetings of our common unitholders to elect directors or conduct other matters routinely conducted at annual meetings of stockholders of corporations. As a result of these limitations, the price at which our common units trade could be diminished because of the absence or reduction of a takeover premium in the trading price.</w:t>
      </w:r>
    </w:p>
    <w:p>
      <w:pPr>
        <w:spacing w:after="0" w:line="22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If our common unitholders are dissatisfied with the performance of our General Partner, they have limited ability to remove our General Partner. The vote of the holders of at least 66 2/3% of all outstanding units, including any units owned by our General Partner and its affiliates, voting as a single class, is required to remove our General Partner. In addition, any vote to remove our General Partner must provide for the election of a successor general partner by the holders of a majority of the outstanding units, voting together as a single class. As of December 31, 2021, Diamondback owned all of our 107,815,152 outstanding Class B units representing 74% of our total units outstanding. This gives Diamondback the ability to prevent the removal of our General Partner.</w:t>
      </w:r>
    </w:p>
    <w:p>
      <w:pPr>
        <w:spacing w:after="0" w:line="19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Furthermore, common unitholders’ voting rights are further restricted by our partnership agreement provision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cannot vote on any matter.</w:t>
      </w:r>
    </w:p>
    <w:p>
      <w:pPr>
        <w:spacing w:after="0" w:line="180"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Our partnership agreement also contains provisions limiting the ability of common unitholders to call meetings or to acquire information about our operations, as well as other provisions limiting the unitholders’ ability to influence the manner or direction of our management.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Our General Partner interest or the control of our General Partner may be transferred to a third party without unitholder consent.</w:t>
      </w:r>
    </w:p>
    <w:p>
      <w:pPr>
        <w:spacing w:after="0" w:line="264"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the executive officers of our General Partner with its own designees and thereby exert significant control over the decisions taken by the board of directors and the executive officers of our General Partner. This effectively permits a “change of control” without the vote or consent of the common unitholders.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Common unitholders may have liability to repay distributions and in certain circumstances may be personally liable for our obligations.</w:t>
      </w:r>
    </w:p>
    <w:p>
      <w:pPr>
        <w:spacing w:after="0" w:line="264"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Under certain circumstances, common unitholders may have to repay amounts wrongfully returned or distributed to them. Under Section 17-607 of the Delaware Revised Uniform Limited Partnership Act, or the Delaware Act, we may not make a distribution to our common unitholders if the distribution would cause our liabilities to exceed the fair value of our assets. Delaware law provides that for a period of three years from the date of any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us are not counted for purposes of determining whether a distribution is permitted.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188" w:lineRule="exact"/>
        <w:rPr>
          <w:sz w:val="20"/>
          <w:szCs w:val="20"/>
          <w:color w:val="auto"/>
        </w:rPr>
      </w:pPr>
    </w:p>
    <w:p>
      <w:pPr>
        <w:ind w:right="160" w:firstLine="632"/>
        <w:spacing w:after="0" w:line="262"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20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 the proportionate ownership interest of common unitholders in us immediately prior to the issuance will decrease; the amount of cash distributions on each common unit may decrease; the relative voting strength of each previously outstanding common unit may be diminished; and the market price of the common units may decline. The issuance by us of an additional general partner interest may have the following effects, among others, if such general partner interest is issued to a person who is not an affiliate of Diamondback: management of our business may no longer reside solely with our current General Partner; and affiliates of the newly admitted general partner may compete with us, and neither that general partner nor such affiliates will have any obligation to present business opportunities to us.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partnership agreement does not limit our ability to issue units ranking senior to the common units.</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218" w:lineRule="exact"/>
        <w:rPr>
          <w:sz w:val="20"/>
          <w:szCs w:val="20"/>
          <w:color w:val="auto"/>
        </w:rPr>
      </w:pPr>
    </w:p>
    <w:p>
      <w:pPr>
        <w:ind w:right="180" w:firstLine="632"/>
        <w:spacing w:after="0" w:line="291" w:lineRule="auto"/>
        <w:rPr>
          <w:sz w:val="20"/>
          <w:szCs w:val="20"/>
          <w:color w:val="auto"/>
        </w:rPr>
      </w:pPr>
      <w:r>
        <w:rPr>
          <w:rFonts w:ascii="Arial" w:cs="Arial" w:eastAsia="Arial" w:hAnsi="Arial"/>
          <w:sz w:val="16"/>
          <w:szCs w:val="16"/>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188"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w:t>
      </w:r>
    </w:p>
    <w:p>
      <w:pPr>
        <w:spacing w:after="0" w:line="19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20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Our General Partner may amend our partnership agreement, as it determines necessary or advisable, to obtain proof of the nationality, citizenship or other related status of our limited partners (and their owners, to the extent relevant) and to permit our General Partner to redeem the units held by any person</w:t>
      </w:r>
    </w:p>
    <w:p>
      <w:pPr>
        <w:spacing w:after="0" w:line="1" w:lineRule="exact"/>
        <w:rPr>
          <w:sz w:val="20"/>
          <w:szCs w:val="20"/>
          <w:color w:val="auto"/>
        </w:rPr>
      </w:pPr>
    </w:p>
    <w:p>
      <w:pPr>
        <w:jc w:val="both"/>
        <w:ind w:firstLine="5"/>
        <w:spacing w:after="0" w:line="246"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whose nationality, citizenship or related status creates substantial risk of cancellation or forfeiture of any of our property and/or (ii)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The market price of our common units could be adversely affected by sales of substantial amounts of our common units in the public or private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29"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certain registration rights to Diamondback. Pursuant to these registration rights, we have agreed to register, under the Securities Act, all of the common units owned by Diamondback and its assignees for resale (including common units issuable in exchange for Class B units and our Operating Company units). Under our partnership agreement, our General Partner and its affiliates also have registration rights relating to the offer and sale of any common units that they hold.</w:t>
      </w:r>
    </w:p>
    <w:p>
      <w:pPr>
        <w:spacing w:after="0" w:line="224" w:lineRule="exact"/>
        <w:rPr>
          <w:sz w:val="20"/>
          <w:szCs w:val="20"/>
          <w:color w:val="auto"/>
        </w:rPr>
      </w:pPr>
    </w:p>
    <w:p>
      <w:pPr>
        <w:jc w:val="both"/>
        <w:ind w:firstLine="632"/>
        <w:spacing w:after="0" w:line="362" w:lineRule="auto"/>
        <w:rPr>
          <w:sz w:val="20"/>
          <w:szCs w:val="20"/>
          <w:color w:val="auto"/>
        </w:rPr>
      </w:pPr>
      <w:r>
        <w:rPr>
          <w:rFonts w:ascii="Arial" w:cs="Arial" w:eastAsia="Arial" w:hAnsi="Arial"/>
          <w:sz w:val="15"/>
          <w:szCs w:val="15"/>
          <w:b w:val="1"/>
          <w:bCs w:val="1"/>
          <w:i w:val="1"/>
          <w:iCs w:val="1"/>
          <w:color w:val="auto"/>
        </w:rPr>
        <w:t>For as long as we are an emerging growth company, we are not required to comply with certain disclosure requirements, including those relating to accounting standards and disclosure about our executive compensation and internal control auditing requirements that apply to other public companies.</w:t>
      </w:r>
    </w:p>
    <w:p>
      <w:pPr>
        <w:spacing w:after="0" w:line="138"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We are classified as an “emerging growth company” under Section 2(a)(19) of the Securities Act. For as long as we are an emerging growth company, which may be up to five full fiscal years, unlike other public companies, we are not required to, among other things, (i) provide an auditor’s attestation report on management’s assessment of the effectiveness of our system of internal control over financial reporting pursuant to Section 404(b) of the Sarbanes-Oxley Act of 2002, (ii) 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 (iii) comply with any new audit rules adopted by the Public Company Accounting Oversight Board after April 5, 2012 unless the SEC determines otherwise or (iv) provide certain disclosures regarding executive compensation required of larger public companies.</w:t>
      </w:r>
    </w:p>
    <w:p>
      <w:pPr>
        <w:spacing w:after="0" w:line="200" w:lineRule="exact"/>
        <w:rPr>
          <w:sz w:val="20"/>
          <w:szCs w:val="20"/>
          <w:color w:val="auto"/>
        </w:rPr>
      </w:pPr>
    </w:p>
    <w:p>
      <w:pPr>
        <w:spacing w:after="0" w:line="244" w:lineRule="exact"/>
        <w:rPr>
          <w:sz w:val="20"/>
          <w:szCs w:val="20"/>
          <w:color w:val="auto"/>
        </w:rPr>
      </w:pPr>
    </w:p>
    <w:p>
      <w:pPr>
        <w:ind w:right="220" w:firstLine="632"/>
        <w:spacing w:after="0" w:line="25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common unitholders could lose confidence in our financial reporting, which would harm our business and the trading price of our common units.</w:t>
      </w:r>
    </w:p>
    <w:p>
      <w:pPr>
        <w:spacing w:after="0" w:line="215"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We are required to comply with the SEC’s rules implementing Sections 302 and 404 of the Sarbanes-Oxley Act of 2002, which requires our management to certify financial and other information in our quarterly and annual reports and provide an annual management report on the effectiveness of our internal control over financial reporting. Effective internal controls are necessary for us to provide reliable financial reports, prevent fraud and operate successfully as a publicly traded partnership.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the Sarbanes-Oxley Act of 2002. For example, Section 404 requires us, among other things, to annually review and report on, and our independent registered public accounting firm to attest to, the effectiveness of our internal controls over financial reporting, with auditor attestation of the effectiveness of our internal controls over financial reporting beginning with our Annual Report on Form 10-K for the year in which we cease to qualify as an emerging growth company.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common units.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Nasdaq does not require a publicly traded limited partnership like us to comply with certain of its corporate governance requirements.</w:t>
      </w:r>
    </w:p>
    <w:p>
      <w:pPr>
        <w:spacing w:after="0" w:line="264"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Additionally, any future issuance of additional common units or other securities, including to affiliates, will not be subject to Nasdaq’s stockholder approval rules that apply to a corporation. Accordingly, unitholders do not have the same protections afforded to stockholders of certain corporations that are subject to all of Nasdaq’s corporate governance requirements.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b w:val="1"/>
          <w:bCs w:val="1"/>
          <w:i w:val="1"/>
          <w:iCs w:val="1"/>
          <w:color w:val="auto"/>
        </w:rPr>
        <w:t>We are treated as a corporation for U.S. federal income tax purposes and our cash available for distribution to our common unitholders may be substantially reduced.</w:t>
      </w:r>
    </w:p>
    <w:p>
      <w:pPr>
        <w:spacing w:after="0" w:line="20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We are a Delaware limited partnership and have elected to be treated as a corporation for U.S. federal income tax purposes. As a result, we are subject to tax as a corporation at the corporate tax rate. While we expect to generate net operating losses or utilize net operating losses to offset a portion of our taxable income over the next several years, there is no guarantee that we will not have any taxable income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Distributions to common unitholders may be taxable as dividends.</w:t>
      </w:r>
    </w:p>
    <w:p>
      <w:pPr>
        <w:spacing w:after="0" w:line="17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Future U.S. tax legislation may adversely affect our business, financial condition, results of operations, and cash flow.</w:t>
      </w:r>
    </w:p>
    <w:p>
      <w:pPr>
        <w:spacing w:after="0" w:line="15"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to our customers, including Diamondback, with respect to natural gas and oil exploration, development or similar activities, could adversely affect our business, financial condition, results of operations, and cash flows.</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47" w:lineRule="exact"/>
        <w:rPr>
          <w:sz w:val="20"/>
          <w:szCs w:val="20"/>
          <w:color w:val="auto"/>
        </w:rPr>
      </w:pPr>
    </w:p>
    <w:p>
      <w:pPr>
        <w:jc w:val="both"/>
        <w:ind w:firstLine="632"/>
        <w:spacing w:after="0" w:line="253" w:lineRule="auto"/>
        <w:rPr>
          <w:rFonts w:ascii="Arial" w:cs="Arial" w:eastAsia="Arial" w:hAnsi="Arial"/>
          <w:sz w:val="18"/>
          <w:szCs w:val="18"/>
          <w:color w:val="auto"/>
        </w:rPr>
      </w:pPr>
      <w:r>
        <w:rPr>
          <w:rFonts w:ascii="Arial" w:cs="Arial" w:eastAsia="Arial" w:hAnsi="Arial"/>
          <w:sz w:val="18"/>
          <w:szCs w:val="18"/>
          <w:color w:val="auto"/>
        </w:rPr>
        <w:t>Due to the nature of our business, we may be, from time to time, involved in routine litigation or subject to disputes or claims related to our business activities. See “Note 15—</w:t>
      </w:r>
      <w:hyperlink w:anchor="page98">
        <w:r>
          <w:rPr>
            <w:rFonts w:ascii="Arial" w:cs="Arial" w:eastAsia="Arial" w:hAnsi="Arial"/>
            <w:sz w:val="18"/>
            <w:szCs w:val="18"/>
            <w:u w:val="single" w:color="auto"/>
            <w:color w:val="0000FF"/>
          </w:rPr>
          <w:t>Commitments and Contingencies</w:t>
        </w:r>
      </w:hyperlink>
      <w:r>
        <w:rPr>
          <w:rFonts w:ascii="Arial" w:cs="Arial" w:eastAsia="Arial" w:hAnsi="Arial"/>
          <w:sz w:val="18"/>
          <w:szCs w:val="18"/>
          <w:color w:val="auto"/>
        </w:rPr>
        <w:t>” included in the notes to the consolidated financial statements included elsewhere in this Annual Report.</w:t>
      </w:r>
    </w:p>
    <w:p>
      <w:pPr>
        <w:spacing w:after="0" w:line="20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Our common units are listed on the Nasdaq Global Select Market under the symbol “RTLR”. There were two holders of record of our common units on February 18,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board of directors of our General Partner sets and administers the cash distribution policies for the Partnership and the Operating Company. Cash distributions paid by the Operating Company to Diamondback and the Partnership as the beneficial owners of the Operating Company’s common units are determined by the board of directors of our General Partner on a quarterly basis. The board of directors of our General Partner may change our distribution policy at any time and from time to time. Our partnership agreement does not require us to pay distributions to our common unitholders on a quarterly or other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unit repurchase activity for the three months ended December 31, 2021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Units</w:t>
            </w:r>
          </w:p>
        </w:tc>
        <w:tc>
          <w:tcPr>
            <w:tcW w:w="280" w:type="dxa"/>
            <w:vAlign w:val="bottom"/>
          </w:tcPr>
          <w:p>
            <w:pPr>
              <w:spacing w:after="0"/>
              <w:rPr>
                <w:sz w:val="16"/>
                <w:szCs w:val="16"/>
                <w:color w:val="auto"/>
              </w:rPr>
            </w:pPr>
          </w:p>
        </w:tc>
        <w:tc>
          <w:tcPr>
            <w:tcW w:w="1620" w:type="dxa"/>
            <w:vAlign w:val="bottom"/>
          </w:tcPr>
          <w:p>
            <w:pPr>
              <w:jc w:val="center"/>
              <w:ind w:right="96"/>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rPr>
              <w:t>Total Number of Units</w:t>
            </w:r>
          </w:p>
        </w:tc>
        <w:tc>
          <w:tcPr>
            <w:tcW w:w="220" w:type="dxa"/>
            <w:vAlign w:val="bottom"/>
          </w:tcPr>
          <w:p>
            <w:pPr>
              <w:spacing w:after="0"/>
              <w:rPr>
                <w:sz w:val="13"/>
                <w:szCs w:val="13"/>
                <w:color w:val="auto"/>
              </w:rPr>
            </w:pPr>
          </w:p>
        </w:tc>
        <w:tc>
          <w:tcPr>
            <w:tcW w:w="1500" w:type="dxa"/>
            <w:vAlign w:val="bottom"/>
            <w:vMerge w:val="restart"/>
          </w:tcPr>
          <w:p>
            <w:pPr>
              <w:jc w:val="right"/>
              <w:ind w:right="136"/>
              <w:spacing w:after="0"/>
              <w:rPr>
                <w:sz w:val="20"/>
                <w:szCs w:val="20"/>
                <w:color w:val="auto"/>
              </w:rPr>
            </w:pPr>
            <w:r>
              <w:rPr>
                <w:rFonts w:ascii="Arial" w:cs="Arial" w:eastAsia="Arial" w:hAnsi="Arial"/>
                <w:sz w:val="16"/>
                <w:szCs w:val="16"/>
                <w:b w:val="1"/>
                <w:bCs w:val="1"/>
                <w:color w:val="auto"/>
                <w:w w:val="86"/>
              </w:rPr>
              <w:t>Average Price Paid</w:t>
            </w:r>
          </w:p>
        </w:tc>
        <w:tc>
          <w:tcPr>
            <w:tcW w:w="1860" w:type="dxa"/>
            <w:vAlign w:val="bottom"/>
            <w:vMerge w:val="continue"/>
          </w:tcPr>
          <w:p>
            <w:pPr>
              <w:spacing w:after="0"/>
              <w:rPr>
                <w:sz w:val="13"/>
                <w:szCs w:val="13"/>
                <w:color w:val="auto"/>
              </w:rPr>
            </w:pPr>
          </w:p>
        </w:tc>
        <w:tc>
          <w:tcPr>
            <w:tcW w:w="1900" w:type="dxa"/>
            <w:vAlign w:val="bottom"/>
            <w:gridSpan w:val="2"/>
          </w:tcPr>
          <w:p>
            <w:pPr>
              <w:jc w:val="center"/>
              <w:ind w:left="36"/>
              <w:spacing w:after="0" w:line="158" w:lineRule="exact"/>
              <w:rPr>
                <w:sz w:val="20"/>
                <w:szCs w:val="20"/>
                <w:color w:val="auto"/>
              </w:rPr>
            </w:pPr>
            <w:r>
              <w:rPr>
                <w:rFonts w:ascii="Arial" w:cs="Arial" w:eastAsia="Arial" w:hAnsi="Arial"/>
                <w:sz w:val="16"/>
                <w:szCs w:val="16"/>
                <w:b w:val="1"/>
                <w:bCs w:val="1"/>
                <w:color w:val="auto"/>
                <w:w w:val="91"/>
              </w:rPr>
              <w:t>Value of Units that May</w:t>
            </w:r>
          </w:p>
        </w:tc>
        <w:tc>
          <w:tcPr>
            <w:tcW w:w="0" w:type="dxa"/>
            <w:vAlign w:val="bottom"/>
          </w:tcPr>
          <w:p>
            <w:pPr>
              <w:spacing w:after="0"/>
              <w:rPr>
                <w:sz w:val="1"/>
                <w:szCs w:val="1"/>
                <w:color w:val="auto"/>
              </w:rPr>
            </w:pPr>
          </w:p>
        </w:tc>
      </w:tr>
      <w:tr>
        <w:trPr>
          <w:trHeight w:val="158"/>
        </w:trPr>
        <w:tc>
          <w:tcPr>
            <w:tcW w:w="3900" w:type="dxa"/>
            <w:vAlign w:val="bottom"/>
            <w:gridSpan w:val="2"/>
            <w:vMerge w:val="restart"/>
          </w:tcPr>
          <w:p>
            <w:pPr>
              <w:ind w:left="168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8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Purchased as Part of</w:t>
            </w:r>
          </w:p>
        </w:tc>
        <w:tc>
          <w:tcPr>
            <w:tcW w:w="1900" w:type="dxa"/>
            <w:vAlign w:val="bottom"/>
            <w:gridSpan w:val="2"/>
          </w:tcPr>
          <w:p>
            <w:pPr>
              <w:jc w:val="center"/>
              <w:ind w:left="36"/>
              <w:spacing w:after="0" w:line="158" w:lineRule="exact"/>
              <w:rPr>
                <w:sz w:val="20"/>
                <w:szCs w:val="20"/>
                <w:color w:val="auto"/>
              </w:rPr>
            </w:pPr>
            <w:r>
              <w:rPr>
                <w:rFonts w:ascii="Arial" w:cs="Arial" w:eastAsia="Arial" w:hAnsi="Arial"/>
                <w:sz w:val="16"/>
                <w:szCs w:val="16"/>
                <w:b w:val="1"/>
                <w:bCs w:val="1"/>
                <w:color w:val="auto"/>
                <w:w w:val="88"/>
              </w:rPr>
              <w:t>Yet Be Purchased Under</w:t>
            </w:r>
          </w:p>
        </w:tc>
        <w:tc>
          <w:tcPr>
            <w:tcW w:w="0" w:type="dxa"/>
            <w:vAlign w:val="bottom"/>
          </w:tcPr>
          <w:p>
            <w:pPr>
              <w:spacing w:after="0"/>
              <w:rPr>
                <w:sz w:val="1"/>
                <w:szCs w:val="1"/>
                <w:color w:val="auto"/>
              </w:rPr>
            </w:pPr>
          </w:p>
        </w:tc>
      </w:tr>
      <w:tr>
        <w:trPr>
          <w:trHeight w:val="211"/>
        </w:trPr>
        <w:tc>
          <w:tcPr>
            <w:tcW w:w="3900" w:type="dxa"/>
            <w:vAlign w:val="bottom"/>
            <w:gridSpan w:val="2"/>
            <w:vMerge w:val="continue"/>
          </w:tcPr>
          <w:p>
            <w:pPr>
              <w:spacing w:after="0"/>
              <w:rPr>
                <w:sz w:val="18"/>
                <w:szCs w:val="18"/>
                <w:color w:val="auto"/>
              </w:rPr>
            </w:pPr>
          </w:p>
        </w:tc>
        <w:tc>
          <w:tcPr>
            <w:tcW w:w="1860" w:type="dxa"/>
            <w:vAlign w:val="bottom"/>
          </w:tcPr>
          <w:p>
            <w:pPr>
              <w:jc w:val="right"/>
              <w:ind w:right="495"/>
              <w:spacing w:after="0"/>
              <w:rPr>
                <w:sz w:val="20"/>
                <w:szCs w:val="20"/>
                <w:color w:val="auto"/>
              </w:rPr>
            </w:pPr>
            <w:r>
              <w:rPr>
                <w:rFonts w:ascii="Arial" w:cs="Arial" w:eastAsia="Arial" w:hAnsi="Arial"/>
                <w:sz w:val="16"/>
                <w:szCs w:val="16"/>
                <w:b w:val="1"/>
                <w:bCs w:val="1"/>
                <w:color w:val="auto"/>
              </w:rPr>
              <w:t>Purchased</w:t>
            </w:r>
          </w:p>
        </w:tc>
        <w:tc>
          <w:tcPr>
            <w:tcW w:w="220" w:type="dxa"/>
            <w:vAlign w:val="bottom"/>
          </w:tcPr>
          <w:p>
            <w:pPr>
              <w:spacing w:after="0"/>
              <w:rPr>
                <w:sz w:val="18"/>
                <w:szCs w:val="18"/>
                <w:color w:val="auto"/>
              </w:rPr>
            </w:pPr>
          </w:p>
        </w:tc>
        <w:tc>
          <w:tcPr>
            <w:tcW w:w="1500" w:type="dxa"/>
            <w:vAlign w:val="bottom"/>
          </w:tcPr>
          <w:p>
            <w:pPr>
              <w:jc w:val="right"/>
              <w:ind w:right="416"/>
              <w:spacing w:after="0" w:line="210" w:lineRule="exact"/>
              <w:rPr>
                <w:sz w:val="20"/>
                <w:szCs w:val="20"/>
                <w:color w:val="auto"/>
              </w:rPr>
            </w:pPr>
            <w:r>
              <w:rPr>
                <w:rFonts w:ascii="Arial" w:cs="Arial" w:eastAsia="Arial" w:hAnsi="Arial"/>
                <w:sz w:val="16"/>
                <w:szCs w:val="16"/>
                <w:b w:val="1"/>
                <w:bCs w:val="1"/>
                <w:color w:val="auto"/>
              </w:rPr>
              <w:t xml:space="preserve">Per Unit </w:t>
            </w:r>
            <w:r>
              <w:rPr>
                <w:rFonts w:ascii="Arial" w:cs="Arial" w:eastAsia="Arial" w:hAnsi="Arial"/>
                <w:sz w:val="20"/>
                <w:szCs w:val="20"/>
                <w:b w:val="1"/>
                <w:bCs w:val="1"/>
                <w:color w:val="auto"/>
                <w:vertAlign w:val="superscript"/>
              </w:rPr>
              <w:t>(1)</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 Plan</w:t>
            </w:r>
          </w:p>
        </w:tc>
        <w:tc>
          <w:tcPr>
            <w:tcW w:w="280" w:type="dxa"/>
            <w:vAlign w:val="bottom"/>
          </w:tcPr>
          <w:p>
            <w:pPr>
              <w:spacing w:after="0"/>
              <w:rPr>
                <w:sz w:val="18"/>
                <w:szCs w:val="18"/>
                <w:color w:val="auto"/>
              </w:rPr>
            </w:pPr>
          </w:p>
        </w:tc>
        <w:tc>
          <w:tcPr>
            <w:tcW w:w="1620" w:type="dxa"/>
            <w:vAlign w:val="bottom"/>
          </w:tcPr>
          <w:p>
            <w:pPr>
              <w:jc w:val="center"/>
              <w:ind w:right="96"/>
              <w:spacing w:after="0" w:line="210" w:lineRule="exact"/>
              <w:rPr>
                <w:sz w:val="20"/>
                <w:szCs w:val="20"/>
                <w:color w:val="auto"/>
              </w:rPr>
            </w:pPr>
            <w:r>
              <w:rPr>
                <w:rFonts w:ascii="Arial" w:cs="Arial" w:eastAsia="Arial" w:hAnsi="Arial"/>
                <w:sz w:val="16"/>
                <w:szCs w:val="16"/>
                <w:b w:val="1"/>
                <w:bCs w:val="1"/>
                <w:color w:val="auto"/>
                <w:w w:val="86"/>
              </w:rPr>
              <w:t xml:space="preserve">the Plan </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1"/>
        </w:trPr>
        <w:tc>
          <w:tcPr>
            <w:tcW w:w="3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2"/>
          </w:tcPr>
          <w:p>
            <w:pPr>
              <w:jc w:val="right"/>
              <w:ind w:right="296"/>
              <w:spacing w:after="0"/>
              <w:rPr>
                <w:sz w:val="20"/>
                <w:szCs w:val="20"/>
                <w:color w:val="auto"/>
              </w:rPr>
            </w:pPr>
            <w:r>
              <w:rPr>
                <w:rFonts w:ascii="Arial" w:cs="Arial" w:eastAsia="Arial" w:hAnsi="Arial"/>
                <w:sz w:val="16"/>
                <w:szCs w:val="16"/>
                <w:b w:val="1"/>
                <w:bCs w:val="1"/>
                <w:color w:val="auto"/>
                <w:w w:val="93"/>
              </w:rPr>
              <w:t>($ in thousands, except per unit amounts)</w:t>
            </w: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11.92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104,768</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860" w:type="dxa"/>
            <w:vAlign w:val="bottom"/>
          </w:tcPr>
          <w:p>
            <w:pPr>
              <w:jc w:val="right"/>
              <w:spacing w:after="0"/>
              <w:rPr>
                <w:sz w:val="20"/>
                <w:szCs w:val="20"/>
                <w:color w:val="auto"/>
              </w:rPr>
            </w:pPr>
            <w:r>
              <w:rPr>
                <w:rFonts w:ascii="Arial" w:cs="Arial" w:eastAsia="Arial" w:hAnsi="Arial"/>
                <w:sz w:val="18"/>
                <w:szCs w:val="18"/>
                <w:color w:val="auto"/>
              </w:rPr>
              <w:t>676,797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11.14</w:t>
            </w:r>
          </w:p>
        </w:tc>
        <w:tc>
          <w:tcPr>
            <w:tcW w:w="1860" w:type="dxa"/>
            <w:vAlign w:val="bottom"/>
          </w:tcPr>
          <w:p>
            <w:pPr>
              <w:jc w:val="right"/>
              <w:spacing w:after="0"/>
              <w:rPr>
                <w:sz w:val="20"/>
                <w:szCs w:val="20"/>
                <w:color w:val="auto"/>
              </w:rPr>
            </w:pPr>
            <w:r>
              <w:rPr>
                <w:rFonts w:ascii="Arial" w:cs="Arial" w:eastAsia="Arial" w:hAnsi="Arial"/>
                <w:sz w:val="18"/>
                <w:szCs w:val="18"/>
                <w:color w:val="auto"/>
              </w:rPr>
              <w:t>676,797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97,229</w:t>
            </w:r>
          </w:p>
        </w:tc>
        <w:tc>
          <w:tcPr>
            <w:tcW w:w="0" w:type="dxa"/>
            <w:vAlign w:val="bottom"/>
          </w:tcPr>
          <w:p>
            <w:pPr>
              <w:spacing w:after="0"/>
              <w:rPr>
                <w:sz w:val="1"/>
                <w:szCs w:val="1"/>
                <w:color w:val="auto"/>
              </w:rPr>
            </w:pPr>
          </w:p>
        </w:tc>
      </w:tr>
      <w:tr>
        <w:trPr>
          <w:trHeight w:val="224"/>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10.96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87,668</w:t>
            </w:r>
          </w:p>
        </w:tc>
        <w:tc>
          <w:tcPr>
            <w:tcW w:w="0" w:type="dxa"/>
            <w:vAlign w:val="bottom"/>
          </w:tcPr>
          <w:p>
            <w:pPr>
              <w:spacing w:after="0"/>
              <w:rPr>
                <w:sz w:val="1"/>
                <w:szCs w:val="1"/>
                <w:color w:val="auto"/>
              </w:rPr>
            </w:pPr>
          </w:p>
        </w:tc>
      </w:tr>
      <w:tr>
        <w:trPr>
          <w:trHeight w:val="217"/>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1,705,477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11.12</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1,705,477</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unit includes commissions paid to repurchase common units.</w:t>
      </w:r>
    </w:p>
    <w:p>
      <w:pPr>
        <w:spacing w:after="0" w:line="15" w:lineRule="exact"/>
        <w:rPr>
          <w:rFonts w:ascii="Arial" w:cs="Arial" w:eastAsia="Arial" w:hAnsi="Arial"/>
          <w:sz w:val="18"/>
          <w:szCs w:val="18"/>
          <w:color w:val="auto"/>
        </w:rPr>
      </w:pPr>
    </w:p>
    <w:p>
      <w:pPr>
        <w:jc w:val="both"/>
        <w:ind w:left="320" w:hanging="315"/>
        <w:spacing w:after="0" w:line="245" w:lineRule="auto"/>
        <w:tabs>
          <w:tab w:leader="none" w:pos="3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2020, the board of directors of our General Partner approved an initial common unit repurchase program to acquire up to $100.0 million of our outstanding common units through December 31, 2021. In October 2021, the repurchase program authorization was increased to $150.0 million and the program was extended indefinitely. This repurchase program may be suspended from time to time, modified, extended or discontinued by the board of directors of our General Partner at any time.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[RESERVED]</w:t>
      </w: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jc w:val="both"/>
        <w:ind w:firstLine="553"/>
        <w:spacing w:after="0" w:line="291" w:lineRule="auto"/>
        <w:rPr>
          <w:rFonts w:ascii="Arial" w:cs="Arial" w:eastAsia="Arial" w:hAnsi="Arial"/>
          <w:sz w:val="16"/>
          <w:szCs w:val="16"/>
          <w:i w:val="1"/>
          <w:iCs w:val="1"/>
          <w:color w:val="0000FF"/>
        </w:rPr>
      </w:pPr>
      <w:r>
        <w:rPr>
          <w:rFonts w:ascii="Arial" w:cs="Arial" w:eastAsia="Arial" w:hAnsi="Arial"/>
          <w:sz w:val="16"/>
          <w:szCs w:val="16"/>
          <w:i w:val="1"/>
          <w:iCs w:val="1"/>
          <w:color w:val="auto"/>
        </w:rPr>
        <w:t xml:space="preserve">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w:t>
      </w:r>
      <w:hyperlink w:anchor="page20">
        <w:r>
          <w:rPr>
            <w:rFonts w:ascii="Arial" w:cs="Arial" w:eastAsia="Arial" w:hAnsi="Arial"/>
            <w:sz w:val="16"/>
            <w:szCs w:val="16"/>
            <w:i w:val="1"/>
            <w:iCs w:val="1"/>
            <w:color w:val="auto"/>
          </w:rPr>
          <w:t>Actual results and the timing of events may differ materially from those contained in these forward-looking statements due to a number of factors. See “</w:t>
        </w:r>
        <w:r>
          <w:rPr>
            <w:rFonts w:ascii="Arial" w:cs="Arial" w:eastAsia="Arial" w:hAnsi="Arial"/>
            <w:sz w:val="16"/>
            <w:szCs w:val="16"/>
            <w:i w:val="1"/>
            <w:iCs w:val="1"/>
            <w:u w:val="single" w:color="auto"/>
            <w:color w:val="0000FF"/>
          </w:rPr>
          <w:t>Item</w:t>
        </w:r>
      </w:hyperlink>
      <w:r>
        <w:rPr>
          <w:rFonts w:ascii="Arial" w:cs="Arial" w:eastAsia="Arial" w:hAnsi="Arial"/>
          <w:sz w:val="16"/>
          <w:szCs w:val="16"/>
          <w:i w:val="1"/>
          <w:iCs w:val="1"/>
          <w:color w:val="auto"/>
        </w:rPr>
        <w:t xml:space="preserve"> </w:t>
      </w:r>
      <w:hyperlink w:anchor="page20">
        <w:r>
          <w:rPr>
            <w:rFonts w:ascii="Arial" w:cs="Arial" w:eastAsia="Arial" w:hAnsi="Arial"/>
            <w:sz w:val="16"/>
            <w:szCs w:val="16"/>
            <w:i w:val="1"/>
            <w:iCs w:val="1"/>
            <w:u w:val="single" w:color="auto"/>
            <w:color w:val="0000FF"/>
          </w:rPr>
          <w:t>1A. Risk Factors</w:t>
        </w:r>
        <w:r>
          <w:rPr>
            <w:rFonts w:ascii="Arial" w:cs="Arial" w:eastAsia="Arial" w:hAnsi="Arial"/>
            <w:sz w:val="16"/>
            <w:szCs w:val="16"/>
            <w:i w:val="1"/>
            <w:iCs w:val="1"/>
            <w:color w:val="000000"/>
          </w:rPr>
          <w:t>” and “</w:t>
        </w:r>
      </w:hyperlink>
      <w:hyperlink w:anchor="page4">
        <w:r>
          <w:rPr>
            <w:rFonts w:ascii="Arial" w:cs="Arial" w:eastAsia="Arial" w:hAnsi="Arial"/>
            <w:sz w:val="16"/>
            <w:szCs w:val="16"/>
            <w:i w:val="1"/>
            <w:iCs w:val="1"/>
            <w:u w:val="single" w:color="auto"/>
            <w:color w:val="0000FF"/>
          </w:rPr>
          <w:t>Cautionary Statement Regarding Forward-Looking Statements</w:t>
        </w:r>
      </w:hyperlink>
      <w:hyperlink w:anchor="page20">
        <w:r>
          <w:rPr>
            <w:rFonts w:ascii="Arial" w:cs="Arial" w:eastAsia="Arial" w:hAnsi="Arial"/>
            <w:sz w:val="16"/>
            <w:szCs w:val="16"/>
            <w:i w:val="1"/>
            <w:iCs w:val="1"/>
            <w:color w:val="000000"/>
          </w:rPr>
          <w:t>” included elsewhere in this Annual Report.</w:t>
        </w:r>
      </w:hyperlink>
    </w:p>
    <w:p>
      <w:pPr>
        <w:spacing w:after="0" w:line="200" w:lineRule="exact"/>
        <w:rPr>
          <w:rFonts w:ascii="Arial" w:cs="Arial" w:eastAsia="Arial" w:hAnsi="Arial"/>
          <w:sz w:val="16"/>
          <w:szCs w:val="16"/>
          <w:i w:val="1"/>
          <w:iCs w:val="1"/>
          <w:color w:val="0000FF"/>
        </w:rPr>
      </w:pPr>
    </w:p>
    <w:p>
      <w:pPr>
        <w:spacing w:after="0" w:line="200" w:lineRule="exact"/>
        <w:rPr>
          <w:rFonts w:ascii="Arial" w:cs="Arial" w:eastAsia="Arial" w:hAnsi="Arial"/>
          <w:sz w:val="16"/>
          <w:szCs w:val="16"/>
          <w:i w:val="1"/>
          <w:iCs w:val="1"/>
          <w:color w:val="0000FF"/>
        </w:rPr>
      </w:pPr>
    </w:p>
    <w:p>
      <w:pPr>
        <w:spacing w:after="0" w:line="341" w:lineRule="exact"/>
        <w:rPr>
          <w:rFonts w:ascii="Arial" w:cs="Arial" w:eastAsia="Arial" w:hAnsi="Arial"/>
          <w:sz w:val="16"/>
          <w:szCs w:val="16"/>
          <w:i w:val="1"/>
          <w:iCs w:val="1"/>
          <w:color w:val="0000FF"/>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6"/>
          <w:szCs w:val="16"/>
          <w:i w:val="1"/>
          <w:iCs w:val="1"/>
          <w:color w:val="0000FF"/>
        </w:rPr>
      </w:pPr>
      <w:r>
        <w:rPr>
          <w:rFonts w:ascii="Arial" w:cs="Arial" w:eastAsia="Arial" w:hAnsi="Arial"/>
          <w:sz w:val="16"/>
          <w:szCs w:val="16"/>
          <w:i w:val="1"/>
          <w:iCs w:val="1"/>
          <w:color w:val="0000FF"/>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are a Delaware limited partnership formed by Diamondback to own, operate, develop and acquire midstream and energy-related infrastructure assets in the Midland and Delaware Basins of the Permian Basin, one of the most prolific oil producing areas in the world. Our assets and operations are reported in one operating business segment. We have elected to be treated as a corporation for U.S. federal income tax purposes.</w:t>
      </w:r>
    </w:p>
    <w:p>
      <w:pPr>
        <w:spacing w:after="0" w:line="180"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We provide crude oil and water-related midstream services (including water sourcing and transportation and produced water gathering and disposal) to Diamondback under long-term, fixed-fee contracts. As of December 31, 2021, our midstream infrastructure assets include 866 miles of pipeline across the Midland and Delaware Basins with approximately 305,000 Bbl/d of crude oil gathering capacity, 3.5 MMBbl/d of produced water disposal capacity and 664,000 Bbl/d of sourced water gathering capacity. In addition to our midstream infrastructure assets, we own equity interests in three long-haul crude oil pipelines and one NGL pipeline that run from the Permian to the Texas Gulf Coast, and also own equity interests in third-party operated gathering systems and processing facilities supported by dedications from Diamondback. We are critical to Diamondback’s growth plans because we provide a long-term midstream solution to its increasing crude oil and water-related services needs through our robust infield gathering systems and produced water disposal capabilities.</w:t>
      </w:r>
    </w:p>
    <w:p>
      <w:pPr>
        <w:spacing w:after="0" w:line="19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As of December 31, 2021, our General Partner held a 100% general partner interest in us, Diamondback held no common units and beneficially owned all of our 107,815,152 outstanding Class B units, representing approximately 74% of our total units outstanding. Diamondback also owns and controls our General Partner.</w:t>
      </w:r>
    </w:p>
    <w:p>
      <w:pPr>
        <w:spacing w:after="0" w:line="21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On December 22, 2021, we completed the Reorganization, which included the Contribution of 100% of the limited liability company interests we held in the Operating Company to the Holding Company. As a result of the Contribution, the Holding Company was admitted as a member of the Operating Company, and replaced the Partnership as the managing member of the Operating Company.</w:t>
      </w:r>
    </w:p>
    <w:p>
      <w:pPr>
        <w:spacing w:after="0" w:line="21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As of December 31, 2021, the Holding Company owned a 26% membership interest and 100% of the sole managing membership interest in the Operating Company, and Diamondback owned, through its ownership of the Operating Company units, a 74% economic, non-voting interest in the Operating Company. As required by GAAP, we consolidate 100% of the assets and operations of the Holding Company and the Operating Company in our financial statements and reflect a non-controlling interest.</w:t>
      </w:r>
    </w:p>
    <w:p>
      <w:pPr>
        <w:spacing w:after="0" w:line="231" w:lineRule="exact"/>
        <w:rPr>
          <w:sz w:val="20"/>
          <w:szCs w:val="20"/>
          <w:color w:val="auto"/>
        </w:rPr>
      </w:pPr>
    </w:p>
    <w:p>
      <w:pPr>
        <w:jc w:val="both"/>
        <w:ind w:right="80" w:firstLine="632"/>
        <w:spacing w:after="0" w:line="280" w:lineRule="auto"/>
        <w:rPr>
          <w:rFonts w:ascii="Arial" w:cs="Arial" w:eastAsia="Arial" w:hAnsi="Arial"/>
          <w:sz w:val="16"/>
          <w:szCs w:val="16"/>
          <w:color w:val="auto"/>
        </w:rPr>
      </w:pPr>
      <w:r>
        <w:rPr>
          <w:rFonts w:ascii="Arial" w:cs="Arial" w:eastAsia="Arial" w:hAnsi="Arial"/>
          <w:sz w:val="16"/>
          <w:szCs w:val="16"/>
          <w:color w:val="auto"/>
        </w:rPr>
        <w:t xml:space="preserve">The following discussion includes a comparison of our results of operations, including changes in our operating income, and liquidity and capital resources for fiscal years 2021 and 2020. A discussion of changes in our results of operations from fiscal year 2019 to fiscal year 2020 has been omitted from </w:t>
      </w:r>
      <w:hyperlink r:id="rId53">
        <w:r>
          <w:rPr>
            <w:rFonts w:ascii="Arial" w:cs="Arial" w:eastAsia="Arial" w:hAnsi="Arial"/>
            <w:sz w:val="16"/>
            <w:szCs w:val="16"/>
            <w:color w:val="auto"/>
          </w:rPr>
          <w:t xml:space="preserve">this report, but may be found in </w:t>
        </w:r>
        <w:r>
          <w:rPr>
            <w:rFonts w:ascii="Arial" w:cs="Arial" w:eastAsia="Arial" w:hAnsi="Arial"/>
            <w:sz w:val="16"/>
            <w:szCs w:val="16"/>
            <w:u w:val="single" w:color="auto"/>
            <w:color w:val="0000FF"/>
          </w:rPr>
          <w:t>“Item 7. Management’s Discussion and Analysis of Financial Condition and Results of Operations” of our annual report on</w:t>
        </w:r>
      </w:hyperlink>
    </w:p>
    <w:p>
      <w:pPr>
        <w:spacing w:after="0"/>
        <w:rPr>
          <w:rFonts w:ascii="Arial" w:cs="Arial" w:eastAsia="Arial" w:hAnsi="Arial"/>
          <w:sz w:val="16"/>
          <w:szCs w:val="16"/>
          <w:color w:val="0000FF"/>
        </w:rPr>
      </w:pPr>
      <w:hyperlink r:id="rId53">
        <w:r>
          <w:rPr>
            <w:rFonts w:ascii="Arial" w:cs="Arial" w:eastAsia="Arial" w:hAnsi="Arial"/>
            <w:sz w:val="16"/>
            <w:szCs w:val="16"/>
            <w:u w:val="single" w:color="auto"/>
            <w:color w:val="0000FF"/>
          </w:rPr>
          <w:t>Form 10-K for the fiscal year ended December 31, 2020</w:t>
        </w:r>
        <w:r>
          <w:rPr>
            <w:rFonts w:ascii="Arial" w:cs="Arial" w:eastAsia="Arial" w:hAnsi="Arial"/>
            <w:sz w:val="16"/>
            <w:szCs w:val="16"/>
            <w:color w:val="000000"/>
          </w:rPr>
          <w:t>, filed with the SEC on February 25, 2021 and incorporated by reference into this Annual Report.</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 and Recent Developments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COVID-19 and Effects on Commodity Prices</w:t>
      </w:r>
    </w:p>
    <w:p>
      <w:pPr>
        <w:spacing w:after="0" w:line="228"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6"/>
          <w:szCs w:val="16"/>
          <w:color w:val="auto"/>
        </w:rPr>
        <w:t>After briefly reaching negative levels in April 2020, oil prices recovered during 2021, spurred by the global economic recovery from the COVID-19 pandemic and producer restraint. Demand for oil and natural gas increased during 2021, as many restrictions on conducting business, implemented in response to the COVID-19 pandemic, have been lifted due to improved treatments and availability of vaccinations in the U.S. and globally. However, the emergence of the COVID-19 Delta variant in the latter part of 2021 and the subsequent surge of the highly transmissible Omicron variant continued to contribute to the economic and pricing volatility and cautious oil and natural gas production outlook for 2022, as industry and market participants evaluate the potential impact of Omicron variant cases. Further, on January 4, 2022, OPEC+ agreed to continue their program (commenced in August 2021) of gradual monthly output increases in February 2022, raising its output target by 400,000 Bbl per day, which move is expected to further boost oil supply in response to rising demand. In its report issued on February 10, 2022, OPEC noted its expectation that world oil demand will rise by 4.15 MBbl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Despite the recovery in commodity prices and rising demand, Diamondback kept its production relatively flat during 2021, using excess cash flow for debt repayment and/or return to its stockholders rather than expanding its drilling program.</w:t>
      </w:r>
    </w:p>
    <w:p>
      <w:pPr>
        <w:spacing w:after="0" w:line="207"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We derive substantially all of our revenue from our commercial agreements with Diamondback which do not contain minimum volume commitments. The reduction of Diamondback’s drilling and development plan on the acreage dedicated to us by Diamondback directly and adversely impacts Diamondback’s demand for our midstream services. Reduced demand stemming from the price volatility discussed above has had and may continue to have a detrimental effect on our sourced water business line and our overall operations. Diamondback recently announced its 2022 production target of between 218,000 and 222,000 barrels of oil per day. We cannot predict the extent to which Diamondback’s business would be impacted if conditions in the energy industry were to further deteriorate nor can we estimate the impact such conditions would have on Diamondback’s ability to execute its drilling and development plan on the Acreage Dedications or to perform under our commercial agreements.</w:t>
      </w:r>
    </w:p>
    <w:p>
      <w:pPr>
        <w:spacing w:after="0" w:line="194"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During 2021, we reduced operated capital expenditures to less than 25% of 2020 levels and less than 15% of 2019 levels. Combined with the fact that our equity method joint venture build cycle is nearing its end, and changing from a net outflow of capital contributions to a net inflow of cash distributions, we believe that this stabilized volume outlook will present meaningful free cash flow generation in the current commodity price environment.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WTG Joint Venture Acquisition</w:t>
      </w:r>
    </w:p>
    <w:p>
      <w:pPr>
        <w:spacing w:after="0" w:line="228" w:lineRule="exact"/>
        <w:rPr>
          <w:sz w:val="20"/>
          <w:szCs w:val="20"/>
          <w:color w:val="auto"/>
        </w:rPr>
      </w:pPr>
    </w:p>
    <w:p>
      <w:pPr>
        <w:jc w:val="both"/>
        <w:ind w:firstLine="632"/>
        <w:spacing w:after="0" w:line="257" w:lineRule="auto"/>
        <w:rPr>
          <w:sz w:val="20"/>
          <w:szCs w:val="20"/>
          <w:color w:val="auto"/>
        </w:rPr>
      </w:pPr>
      <w:r>
        <w:rPr>
          <w:rFonts w:ascii="Arial" w:cs="Arial" w:eastAsia="Arial" w:hAnsi="Arial"/>
          <w:sz w:val="16"/>
          <w:szCs w:val="16"/>
          <w:color w:val="auto"/>
        </w:rPr>
        <w:t>On October 5, 2021, we and a private affiliate of an investment fund formed the WTG joint venture. The Operating Company invested approximately $104.0 million in cash to acquire a 25% interest in the WTG joint venture, which then completed an acquisition of a majority interest in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Drop Down Transaction</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On December 1, 2021, we acquired certain water midstream assets from Diamondback and certain of its subsidiaries for $160.0 million, including closing adjustments, in cash in a drop down transaction. We funded the transaction with borrowings under the Operating Company’s revolving credit facility. The Drop Down was accounted for as a transaction between entities under common control, with assets recognized at Diamondback’s historical carrying value in the consolidated balance sheet.</w:t>
      </w:r>
    </w:p>
    <w:p>
      <w:pPr>
        <w:spacing w:after="0" w:line="21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Drop Down assets include nine active saltwater disposal injection wells with 330 MBbl/d of capacity, seven produced water recycling and storage facilities, 20 fresh water pits and approximately 4,000 acres of fee surface. Also included are 55 miles of produced water gathering pipeline and 18 miles of sourced water gathering pipeline.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BANGL Joint Venture Acquisition</w:t>
      </w:r>
    </w:p>
    <w:p>
      <w:pPr>
        <w:spacing w:after="0" w:line="228" w:lineRule="exact"/>
        <w:rPr>
          <w:sz w:val="20"/>
          <w:szCs w:val="20"/>
          <w:color w:val="auto"/>
        </w:rPr>
      </w:pPr>
    </w:p>
    <w:p>
      <w:pPr>
        <w:jc w:val="both"/>
        <w:ind w:firstLine="632"/>
        <w:spacing w:after="0" w:line="265" w:lineRule="auto"/>
        <w:rPr>
          <w:sz w:val="20"/>
          <w:szCs w:val="20"/>
          <w:color w:val="auto"/>
        </w:rPr>
      </w:pPr>
      <w:r>
        <w:rPr>
          <w:rFonts w:ascii="Arial" w:cs="Arial" w:eastAsia="Arial" w:hAnsi="Arial"/>
          <w:sz w:val="16"/>
          <w:szCs w:val="16"/>
          <w:color w:val="auto"/>
        </w:rPr>
        <w:t>On January 19, 2022, we invested approximately $22.2 million in cash to acquire a 10% interest in the BANGL joint venture. The BANGL pipeline, which began full commercial service in the fourth quarter of 2021, provides NGL takeaway capacity from MPLX and WTG gas processing plants in the Permian Basin to the NGL fractionation hub in Sweeny, Texas and has expansion capacity of up to 300,000 Bbl/d.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Amarillo Rattler Divestiture</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On April 30, 2021, we and our joint venture partner, Amarillo Midstream, LLC, each sold our respective 50% interests in Amarillo Rattler to EnLink Midstream Operating, LP. Net of transaction expenses and working capital adjustments, we received $23.5 million at closing, which resulted in a gain on sale of equity method investments of $23.0 million. An incremental $5.0 million is payable to us in April 2022, and we could receive up to $7.5 million in total contingent earn-out payments from 2023 to 2025.</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Real Estate Divestiture</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On June 28, 2021, we closed on the sale of one of our real estate properties located in Midland, Texas for proceeds of $9.1 million, including closing adjustments, which resulted in a loss on disposal of $0.4 million.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Pecos County Gas Gathering Divestiture</w:t>
      </w:r>
    </w:p>
    <w:p>
      <w:pPr>
        <w:spacing w:after="0" w:line="2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6"/>
          <w:szCs w:val="16"/>
          <w:color w:val="auto"/>
        </w:rPr>
        <w:t>On November 1, 2021, we completed the sale of substantially all of our natural gas gathering assets to Brazos Delaware Gas, LLC, an affiliate of Brazos Midstream, for aggregate total gross potential consideration of $93.0 million, consisting of (i) $83.0 million paid at closing, after customary closing adjustments, (ii) a $5.0 million contingent payment due in 2023 if the aggregate actual deliveries of gas volumes into the gas gathering system by and/or on behalf of Diamondback and its affiliates exceed certain specified thresholds during 2022, and (iii) a $5.0 million contingent payment due in 2024 if the aggregate actual deliveries of gas volumes into the gas gathering system by and/or on behalf of Diamondback and its affiliates exceed certain specified thresholds during 2022 and 2023. The contingent payments will be recorded if and when they become realizable.</w:t>
      </w:r>
    </w:p>
    <w:p>
      <w:pPr>
        <w:spacing w:after="0" w:line="207"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16—</w:t>
      </w:r>
      <w:hyperlink w:anchor="page98">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consolidated financial statements included elsewhere in this Annual Report for further discussion of these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Highlights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are our significant operating results for the year ended December 31, 2021, as compared with the year ended December 31, 2020:</w:t>
      </w:r>
    </w:p>
    <w:p>
      <w:pPr>
        <w:spacing w:after="0" w:line="264" w:lineRule="exact"/>
        <w:rPr>
          <w:sz w:val="20"/>
          <w:szCs w:val="20"/>
          <w:color w:val="auto"/>
        </w:rPr>
      </w:pPr>
    </w:p>
    <w:p>
      <w:pPr>
        <w:ind w:left="1100" w:hanging="30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crude oil gathering volumes were 79,071 Bbl/d, a decrease of 14% year over year;</w:t>
      </w:r>
    </w:p>
    <w:p>
      <w:pPr>
        <w:spacing w:after="0" w:line="56" w:lineRule="exact"/>
        <w:rPr>
          <w:rFonts w:ascii="Arial" w:cs="Arial" w:eastAsia="Arial" w:hAnsi="Arial"/>
          <w:sz w:val="18"/>
          <w:szCs w:val="18"/>
          <w:color w:val="auto"/>
        </w:rPr>
      </w:pPr>
    </w:p>
    <w:p>
      <w:pPr>
        <w:ind w:left="1100" w:hanging="30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produced water gathering and disposal volumes were 783,259 Bbl/d, a decrease of 5% year over year; and</w:t>
      </w:r>
    </w:p>
    <w:p>
      <w:pPr>
        <w:spacing w:after="0" w:line="56" w:lineRule="exact"/>
        <w:rPr>
          <w:rFonts w:ascii="Arial" w:cs="Arial" w:eastAsia="Arial" w:hAnsi="Arial"/>
          <w:sz w:val="18"/>
          <w:szCs w:val="18"/>
          <w:color w:val="auto"/>
        </w:rPr>
      </w:pPr>
    </w:p>
    <w:p>
      <w:pPr>
        <w:ind w:left="1100" w:hanging="30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sourced water gathering volumes were 268,259 Bbl/d, an increase of 6% year over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Infrastructure Assets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regarding our gathering and transportation system as of December 31, 2021 and utilization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(Miles)</w:t>
            </w:r>
            <w:r>
              <w:rPr>
                <w:rFonts w:ascii="Arial" w:cs="Arial" w:eastAsia="Arial" w:hAnsi="Arial"/>
                <w:sz w:val="9"/>
                <w:szCs w:val="9"/>
                <w:b w:val="1"/>
                <w:bCs w:val="1"/>
                <w:color w:val="auto"/>
              </w:rPr>
              <w:t>(1)</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Delaware Basin</w:t>
            </w: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Midland Basin</w:t>
            </w:r>
          </w:p>
        </w:tc>
        <w:tc>
          <w:tcPr>
            <w:tcW w:w="1640" w:type="dxa"/>
            <w:vAlign w:val="bottom"/>
          </w:tcPr>
          <w:p>
            <w:pPr>
              <w:ind w:left="400"/>
              <w:spacing w:after="0"/>
              <w:rPr>
                <w:sz w:val="20"/>
                <w:szCs w:val="20"/>
                <w:color w:val="auto"/>
              </w:rPr>
            </w:pPr>
            <w:r>
              <w:rPr>
                <w:rFonts w:ascii="Arial" w:cs="Arial" w:eastAsia="Arial" w:hAnsi="Arial"/>
                <w:sz w:val="14"/>
                <w:szCs w:val="14"/>
                <w:b w:val="1"/>
                <w:bCs w:val="1"/>
                <w:color w:val="auto"/>
              </w:rPr>
              <w:t>Permian Total</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Crude oil</w:t>
            </w:r>
          </w:p>
        </w:tc>
        <w:tc>
          <w:tcPr>
            <w:tcW w:w="1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ind w:left="1203"/>
              <w:spacing w:after="0"/>
              <w:rPr>
                <w:sz w:val="20"/>
                <w:szCs w:val="20"/>
                <w:color w:val="auto"/>
              </w:rPr>
            </w:pPr>
            <w:r>
              <w:rPr>
                <w:rFonts w:ascii="Arial" w:cs="Arial" w:eastAsia="Arial" w:hAnsi="Arial"/>
                <w:sz w:val="16"/>
                <w:szCs w:val="16"/>
                <w:color w:val="auto"/>
                <w:w w:val="89"/>
              </w:rPr>
              <w:t>159</w:t>
            </w:r>
          </w:p>
        </w:tc>
        <w:tc>
          <w:tcPr>
            <w:tcW w:w="0" w:type="dxa"/>
            <w:vAlign w:val="bottom"/>
          </w:tcPr>
          <w:p>
            <w:pPr>
              <w:spacing w:after="0"/>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Produced water</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left="1203"/>
              <w:spacing w:after="0"/>
              <w:rPr>
                <w:sz w:val="20"/>
                <w:szCs w:val="20"/>
                <w:color w:val="auto"/>
              </w:rPr>
            </w:pPr>
            <w:r>
              <w:rPr>
                <w:rFonts w:ascii="Arial" w:cs="Arial" w:eastAsia="Arial" w:hAnsi="Arial"/>
                <w:sz w:val="16"/>
                <w:szCs w:val="16"/>
                <w:color w:val="auto"/>
                <w:w w:val="89"/>
              </w:rPr>
              <w:t>583</w:t>
            </w:r>
          </w:p>
        </w:tc>
        <w:tc>
          <w:tcPr>
            <w:tcW w:w="0" w:type="dxa"/>
            <w:vAlign w:val="bottom"/>
          </w:tcPr>
          <w:p>
            <w:pPr>
              <w:spacing w:after="0"/>
              <w:rPr>
                <w:sz w:val="1"/>
                <w:szCs w:val="1"/>
                <w:color w:val="auto"/>
              </w:rPr>
            </w:pPr>
          </w:p>
        </w:tc>
      </w:tr>
      <w:tr>
        <w:trPr>
          <w:trHeight w:val="211"/>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Sourced water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left="1203"/>
              <w:spacing w:after="0"/>
              <w:rPr>
                <w:sz w:val="20"/>
                <w:szCs w:val="20"/>
                <w:color w:val="auto"/>
              </w:rPr>
            </w:pPr>
            <w:r>
              <w:rPr>
                <w:rFonts w:ascii="Arial" w:cs="Arial" w:eastAsia="Arial" w:hAnsi="Arial"/>
                <w:sz w:val="16"/>
                <w:szCs w:val="16"/>
                <w:color w:val="auto"/>
                <w:w w:val="89"/>
              </w:rPr>
              <w:t>124</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6"/>
                <w:szCs w:val="16"/>
                <w:color w:val="auto"/>
              </w:rPr>
              <w:t>Total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453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center"/>
              <w:ind w:left="1203"/>
              <w:spacing w:after="0"/>
              <w:rPr>
                <w:sz w:val="20"/>
                <w:szCs w:val="20"/>
                <w:color w:val="auto"/>
              </w:rPr>
            </w:pPr>
            <w:r>
              <w:rPr>
                <w:rFonts w:ascii="Arial" w:cs="Arial" w:eastAsia="Arial" w:hAnsi="Arial"/>
                <w:sz w:val="16"/>
                <w:szCs w:val="16"/>
                <w:color w:val="auto"/>
                <w:w w:val="89"/>
              </w:rPr>
              <w:t>866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(Capacity/capability)</w:t>
            </w:r>
            <w:r>
              <w:rPr>
                <w:rFonts w:ascii="Arial" w:cs="Arial" w:eastAsia="Arial" w:hAnsi="Arial"/>
                <w:sz w:val="18"/>
                <w:szCs w:val="18"/>
                <w:b w:val="1"/>
                <w:bCs w:val="1"/>
                <w:color w:val="auto"/>
                <w:vertAlign w:val="superscript"/>
              </w:rPr>
              <w:t>(1)</w:t>
            </w: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900" w:type="dxa"/>
            <w:vAlign w:val="bottom"/>
            <w:gridSpan w:val="3"/>
          </w:tcPr>
          <w:p>
            <w:pPr>
              <w:ind w:left="340"/>
              <w:spacing w:after="0"/>
              <w:rPr>
                <w:sz w:val="20"/>
                <w:szCs w:val="20"/>
                <w:color w:val="auto"/>
              </w:rPr>
            </w:pPr>
            <w:r>
              <w:rPr>
                <w:rFonts w:ascii="Arial" w:cs="Arial" w:eastAsia="Arial" w:hAnsi="Arial"/>
                <w:sz w:val="14"/>
                <w:szCs w:val="14"/>
                <w:b w:val="1"/>
                <w:bCs w:val="1"/>
                <w:color w:val="auto"/>
              </w:rPr>
              <w:t>Delaware Basin</w:t>
            </w:r>
          </w:p>
        </w:tc>
        <w:tc>
          <w:tcPr>
            <w:tcW w:w="1720" w:type="dxa"/>
            <w:vAlign w:val="bottom"/>
            <w:gridSpan w:val="4"/>
          </w:tcPr>
          <w:p>
            <w:pPr>
              <w:ind w:left="200"/>
              <w:spacing w:after="0"/>
              <w:rPr>
                <w:sz w:val="20"/>
                <w:szCs w:val="20"/>
                <w:color w:val="auto"/>
              </w:rPr>
            </w:pPr>
            <w:r>
              <w:rPr>
                <w:rFonts w:ascii="Arial" w:cs="Arial" w:eastAsia="Arial" w:hAnsi="Arial"/>
                <w:sz w:val="14"/>
                <w:szCs w:val="14"/>
                <w:b w:val="1"/>
                <w:bCs w:val="1"/>
                <w:color w:val="auto"/>
              </w:rPr>
              <w:t>Midland Basin</w:t>
            </w:r>
          </w:p>
        </w:tc>
        <w:tc>
          <w:tcPr>
            <w:tcW w:w="1720" w:type="dxa"/>
            <w:vAlign w:val="bottom"/>
            <w:gridSpan w:val="4"/>
          </w:tcPr>
          <w:p>
            <w:pPr>
              <w:ind w:left="240"/>
              <w:spacing w:after="0"/>
              <w:rPr>
                <w:sz w:val="20"/>
                <w:szCs w:val="20"/>
                <w:color w:val="auto"/>
              </w:rPr>
            </w:pPr>
            <w:r>
              <w:rPr>
                <w:rFonts w:ascii="Arial" w:cs="Arial" w:eastAsia="Arial" w:hAnsi="Arial"/>
                <w:sz w:val="14"/>
                <w:szCs w:val="14"/>
                <w:b w:val="1"/>
                <w:bCs w:val="1"/>
                <w:color w:val="auto"/>
              </w:rPr>
              <w:t>Permian Total</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Utilization</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Crude oil gathering (Bbl/d)</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305,000</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ind w:left="1183"/>
              <w:spacing w:after="0"/>
              <w:rPr>
                <w:sz w:val="20"/>
                <w:szCs w:val="20"/>
                <w:color w:val="auto"/>
              </w:rPr>
            </w:pPr>
            <w:r>
              <w:rPr>
                <w:rFonts w:ascii="Arial" w:cs="Arial" w:eastAsia="Arial" w:hAnsi="Arial"/>
                <w:sz w:val="16"/>
                <w:szCs w:val="16"/>
                <w:color w:val="auto"/>
                <w:w w:val="93"/>
              </w:rPr>
              <w:t>27 %</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Produced water gathering and disposal (Bbl/d)</w:t>
            </w:r>
          </w:p>
        </w:tc>
        <w:tc>
          <w:tcPr>
            <w:tcW w:w="1620" w:type="dxa"/>
            <w:vAlign w:val="bottom"/>
          </w:tcPr>
          <w:p>
            <w:pPr>
              <w:jc w:val="right"/>
              <w:spacing w:after="0"/>
              <w:rPr>
                <w:sz w:val="20"/>
                <w:szCs w:val="20"/>
                <w:color w:val="auto"/>
              </w:rPr>
            </w:pPr>
            <w:r>
              <w:rPr>
                <w:rFonts w:ascii="Arial" w:cs="Arial" w:eastAsia="Arial" w:hAnsi="Arial"/>
                <w:sz w:val="16"/>
                <w:szCs w:val="16"/>
                <w:color w:val="auto"/>
              </w:rPr>
              <w:t>1,330,000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2,134,000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3,464,000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ind w:left="1183"/>
              <w:spacing w:after="0"/>
              <w:rPr>
                <w:sz w:val="20"/>
                <w:szCs w:val="20"/>
                <w:color w:val="auto"/>
              </w:rPr>
            </w:pPr>
            <w:r>
              <w:rPr>
                <w:rFonts w:ascii="Arial" w:cs="Arial" w:eastAsia="Arial" w:hAnsi="Arial"/>
                <w:sz w:val="16"/>
                <w:szCs w:val="16"/>
                <w:color w:val="auto"/>
                <w:w w:val="93"/>
              </w:rPr>
              <w:t>24 %</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Sourced water gathering (Bbl/d)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183"/>
              <w:spacing w:after="0"/>
              <w:rPr>
                <w:sz w:val="20"/>
                <w:szCs w:val="20"/>
                <w:color w:val="auto"/>
              </w:rPr>
            </w:pPr>
            <w:r>
              <w:rPr>
                <w:rFonts w:ascii="Arial" w:cs="Arial" w:eastAsia="Arial" w:hAnsi="Arial"/>
                <w:sz w:val="16"/>
                <w:szCs w:val="16"/>
                <w:color w:val="auto"/>
                <w:w w:val="93"/>
              </w:rPr>
              <w:t>43 %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hanging="395"/>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include any assets of our equity method investment joint ventures.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2021 and 2020</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75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2020</w:t>
            </w:r>
          </w:p>
        </w:tc>
      </w:tr>
      <w:tr>
        <w:trPr>
          <w:trHeight w:val="207"/>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Results:</w:t>
            </w:r>
          </w:p>
        </w:tc>
        <w:tc>
          <w:tcPr>
            <w:tcW w:w="340" w:type="dxa"/>
            <w:vAlign w:val="bottom"/>
            <w:shd w:val="clear" w:color="auto" w:fill="CCEEFF"/>
          </w:tcPr>
          <w:p>
            <w:pPr>
              <w:spacing w:after="0"/>
              <w:rPr>
                <w:sz w:val="17"/>
                <w:szCs w:val="17"/>
                <w:color w:val="auto"/>
              </w:rPr>
            </w:pPr>
          </w:p>
        </w:tc>
        <w:tc>
          <w:tcPr>
            <w:tcW w:w="3320" w:type="dxa"/>
            <w:vAlign w:val="bottom"/>
            <w:gridSpan w:val="4"/>
            <w:shd w:val="clear" w:color="auto" w:fill="CCEEFF"/>
          </w:tcPr>
          <w:p>
            <w:pPr>
              <w:jc w:val="right"/>
              <w:ind w:right="493"/>
              <w:spacing w:after="0"/>
              <w:rPr>
                <w:sz w:val="20"/>
                <w:szCs w:val="20"/>
                <w:color w:val="auto"/>
              </w:rPr>
            </w:pPr>
            <w:r>
              <w:rPr>
                <w:rFonts w:ascii="Arial" w:cs="Arial" w:eastAsia="Arial" w:hAnsi="Arial"/>
                <w:sz w:val="16"/>
                <w:szCs w:val="16"/>
                <w:b w:val="1"/>
                <w:bCs w:val="1"/>
                <w:color w:val="auto"/>
                <w:w w:val="95"/>
              </w:rPr>
              <w:t>(In thousands, except operating data)</w:t>
            </w:r>
          </w:p>
        </w:tc>
      </w:tr>
      <w:tr>
        <w:trPr>
          <w:trHeight w:val="208"/>
        </w:trPr>
        <w:tc>
          <w:tcPr>
            <w:tcW w:w="75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Midstream revenues—related party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379,089</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Midstream revenues—third party</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31,124</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revenues—related party</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r>
      <w:tr>
        <w:trPr>
          <w:trHeight w:val="224"/>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revenues—third party</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r>
      <w:tr>
        <w:trPr>
          <w:trHeight w:val="217"/>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423,905</w:t>
            </w:r>
          </w:p>
        </w:tc>
      </w:tr>
      <w:tr>
        <w:trPr>
          <w:trHeight w:val="208"/>
        </w:trPr>
        <w:tc>
          <w:tcPr>
            <w:tcW w:w="752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131,393</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Cost of goods sold (exclusive of depreciation and amortization)</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38,370</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operating expenses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49,196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53,123</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and abandonments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16,367</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disposal of assets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17"/>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227,760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241,803</w:t>
            </w:r>
          </w:p>
        </w:tc>
      </w:tr>
      <w:tr>
        <w:trPr>
          <w:trHeight w:val="217"/>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182,102</w:t>
            </w:r>
          </w:p>
        </w:tc>
      </w:tr>
      <w:tr>
        <w:trPr>
          <w:trHeight w:val="208"/>
        </w:trPr>
        <w:tc>
          <w:tcPr>
            <w:tcW w:w="752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Gain (loss) on sale of equity method investments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equity method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r>
      <w:tr>
        <w:trPr>
          <w:trHeight w:val="217"/>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(27,168)</w:t>
            </w:r>
          </w:p>
        </w:tc>
      </w:tr>
      <w:tr>
        <w:trPr>
          <w:trHeight w:val="217"/>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before income taxes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154,934</w:t>
            </w:r>
          </w:p>
        </w:tc>
      </w:tr>
      <w:tr>
        <w:trPr>
          <w:trHeight w:val="224"/>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r>
      <w:tr>
        <w:trPr>
          <w:trHeight w:val="217"/>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144,705</w:t>
            </w:r>
          </w:p>
        </w:tc>
      </w:tr>
      <w:tr>
        <w:trPr>
          <w:trHeight w:val="224"/>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110,014</w:t>
            </w:r>
          </w:p>
        </w:tc>
      </w:tr>
      <w:tr>
        <w:trPr>
          <w:trHeight w:val="242"/>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Rattler Midstream LP</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Data:</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1"/>
        </w:trPr>
        <w:tc>
          <w:tcPr>
            <w:tcW w:w="7520" w:type="dxa"/>
            <w:vAlign w:val="bottom"/>
          </w:tcPr>
          <w:p>
            <w:pPr>
              <w:spacing w:after="0" w:line="210" w:lineRule="exact"/>
              <w:rPr>
                <w:sz w:val="20"/>
                <w:szCs w:val="20"/>
                <w:color w:val="auto"/>
              </w:rPr>
            </w:pPr>
            <w:r>
              <w:rPr>
                <w:rFonts w:ascii="Arial" w:cs="Arial" w:eastAsia="Arial" w:hAnsi="Arial"/>
                <w:sz w:val="16"/>
                <w:szCs w:val="16"/>
                <w:b w:val="1"/>
                <w:bCs w:val="1"/>
                <w:color w:val="auto"/>
              </w:rPr>
              <w:t>Throughput</w:t>
            </w:r>
            <w:r>
              <w:rPr>
                <w:rFonts w:ascii="Arial" w:cs="Arial" w:eastAsia="Arial" w:hAnsi="Arial"/>
                <w:sz w:val="20"/>
                <w:szCs w:val="20"/>
                <w:b w:val="1"/>
                <w:bCs w:val="1"/>
                <w:color w:val="auto"/>
                <w:vertAlign w:val="superscript"/>
              </w:rPr>
              <w:t>(1)</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Crude oil gathering (Bbl/d)</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92,056</w:t>
            </w: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Natural gas gathering (MMBtu/d)</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112,130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121,637</w:t>
            </w:r>
          </w:p>
        </w:tc>
      </w:tr>
      <w:tr>
        <w:trPr>
          <w:trHeight w:val="22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Produced water gathering and disposal (Bbl/d)</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821,543</w:t>
            </w:r>
          </w:p>
        </w:tc>
      </w:tr>
      <w:tr>
        <w:trPr>
          <w:trHeight w:val="223"/>
        </w:trPr>
        <w:tc>
          <w:tcPr>
            <w:tcW w:w="7520" w:type="dxa"/>
            <w:vAlign w:val="bottom"/>
          </w:tcPr>
          <w:p>
            <w:pPr>
              <w:ind w:left="200"/>
              <w:spacing w:after="0"/>
              <w:rPr>
                <w:sz w:val="20"/>
                <w:szCs w:val="20"/>
                <w:color w:val="auto"/>
              </w:rPr>
            </w:pPr>
            <w:r>
              <w:rPr>
                <w:rFonts w:ascii="Arial" w:cs="Arial" w:eastAsia="Arial" w:hAnsi="Arial"/>
                <w:sz w:val="18"/>
                <w:szCs w:val="18"/>
                <w:color w:val="auto"/>
              </w:rPr>
              <w:t>Sourced water gathering (Bbl/d)</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268,259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253,907</w:t>
            </w:r>
          </w:p>
        </w:tc>
      </w:tr>
    </w:tbl>
    <w:p>
      <w:pPr>
        <w:spacing w:after="0" w:line="8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not include volumes from our equity method investment joint ventures.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241"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Total revenues decreased by $27.6 million to $396.3 million in 2021 compared to $423.9 million in 2020, primarily due to declines in revenue from (i) produced water gathering and disposal of $20.1 million,(ii) crude oil gathering of $4.2 million, and (iii) natural gas gathering of $1.7 million.</w:t>
      </w:r>
    </w:p>
    <w:p>
      <w:pPr>
        <w:spacing w:after="0" w:line="16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decreases in revenues from produced water gathering and crude oil gathering in 2021 were due to a reduction in volumes transported by Diamondback through the systems on our dedicated acreage. The decrease in revenues from natural gas gathered was due primarily to the sale of the Pecos gas gathering assets in the fourth quarter of 2021.</w:t>
      </w:r>
    </w:p>
    <w:p>
      <w:pPr>
        <w:spacing w:after="0" w:line="215"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3—</w:t>
      </w:r>
      <w:hyperlink w:anchor="page82">
        <w:r>
          <w:rPr>
            <w:rFonts w:ascii="Arial" w:cs="Arial" w:eastAsia="Arial" w:hAnsi="Arial"/>
            <w:sz w:val="18"/>
            <w:szCs w:val="18"/>
            <w:u w:val="single" w:color="auto"/>
            <w:color w:val="0000FF"/>
          </w:rPr>
          <w:t>Revenue from Contacts with Customers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 for additional discussion of our revenues.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4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Direct operating expenses decreased by $28.5 million to $102.9 million in 2021 compared to $131.4 million in 2020, primarily due to a decline in volumes year over year and a focus on reducing costs. Additionally, we received electricity credits of $3.4 million related to the February 2021 winter storm in the Permian Basin and the sale of the Pecos gas gathering assets resulted in an additional decrease in expenses of approximately $1.5 million.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Cost of goods sold (exclusive of depreciation and amortization) increased by $5.1 million to $43.5 million in 2021 compared to $38.4 million in 2020 due to an increase in sourced water volumes transported in the second and third quarters of 2021.</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Depreciation, amortization and accretion decreased by $3.9 million to $49.2 million in 2021 compared to $53.1 million in 2020, largely due to the 2020 period including $3.0 million of accelerated depreciation related to the abandonment of certain disposal well assets and $1.1 million of accelerated amortization of in-place lease intangibles for early terminated leases. This reduction was partially offset by further development of existing gathering and compression, transportation and disposals systems which increased our depreciable asset base.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General and administrative expenses increased by $5.2 million to $21.6 million in 2021 compared to $16.4 million, for 2020, primarily due to $4.0 million of higher shared service allocations and additional professional service fees attributable to business growth, as well as $1.2 million of additional public company costs incurred.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Net interest expense increased by $14.8 million to $32.1 million in 2021 compared to $17.3 million for 2020, primarily due to additional interest accrued on the Notes which were issued in July 2020 and bear interest at a rate of 5.625% per annum.</w:t>
      </w:r>
    </w:p>
    <w:p>
      <w:pPr>
        <w:spacing w:after="0" w:line="20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Currently, we expect to incur aggregate future cash interest costs of $112.5 million on our Notes, consisting of approximately $28.1 million due in each of the years from 2022 through 2025.</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(loss) on Sale of Equity Method Investments</w:t>
      </w:r>
    </w:p>
    <w:p>
      <w:pPr>
        <w:spacing w:after="0" w:line="241" w:lineRule="exact"/>
        <w:rPr>
          <w:sz w:val="20"/>
          <w:szCs w:val="20"/>
          <w:color w:val="auto"/>
        </w:rPr>
      </w:pPr>
    </w:p>
    <w:p>
      <w:pPr>
        <w:jc w:val="both"/>
        <w:ind w:firstLine="632"/>
        <w:spacing w:after="0" w:line="325" w:lineRule="auto"/>
        <w:rPr>
          <w:rFonts w:ascii="Arial" w:cs="Arial" w:eastAsia="Arial" w:hAnsi="Arial"/>
          <w:sz w:val="16"/>
          <w:szCs w:val="16"/>
          <w:color w:val="0000FF"/>
        </w:rPr>
      </w:pPr>
      <w:r>
        <w:rPr>
          <w:rFonts w:ascii="Arial" w:cs="Arial" w:eastAsia="Arial" w:hAnsi="Arial"/>
          <w:sz w:val="16"/>
          <w:szCs w:val="16"/>
          <w:color w:val="auto"/>
        </w:rPr>
        <w:t xml:space="preserve">The gain of $23.0 million on sale of equity method investments in 2021 related to the sale of our interest in Amarillo Rattler. See Note 4— </w:t>
      </w:r>
      <w:hyperlink w:anchor="page83">
        <w:r>
          <w:rPr>
            <w:rFonts w:ascii="Arial" w:cs="Arial" w:eastAsia="Arial" w:hAnsi="Arial"/>
            <w:sz w:val="16"/>
            <w:szCs w:val="16"/>
            <w:u w:val="single" w:color="auto"/>
            <w:color w:val="0000FF"/>
          </w:rPr>
          <w:t>Acquisitions and Divestitures</w:t>
        </w:r>
        <w:r>
          <w:rPr>
            <w:rFonts w:ascii="Arial" w:cs="Arial" w:eastAsia="Arial" w:hAnsi="Arial"/>
            <w:sz w:val="16"/>
            <w:szCs w:val="16"/>
            <w:color w:val="0000FF"/>
          </w:rPr>
          <w:t xml:space="preserve"> </w:t>
        </w:r>
      </w:hyperlink>
      <w:r>
        <w:rPr>
          <w:rFonts w:ascii="Arial" w:cs="Arial" w:eastAsia="Arial" w:hAnsi="Arial"/>
          <w:sz w:val="16"/>
          <w:szCs w:val="16"/>
          <w:color w:val="000000"/>
        </w:rPr>
        <w:t>in</w:t>
      </w:r>
      <w:r>
        <w:rPr>
          <w:rFonts w:ascii="Arial" w:cs="Arial" w:eastAsia="Arial" w:hAnsi="Arial"/>
          <w:sz w:val="16"/>
          <w:szCs w:val="16"/>
          <w:color w:val="0000FF"/>
        </w:rPr>
        <w:t xml:space="preserve"> </w:t>
      </w:r>
      <w:r>
        <w:rPr>
          <w:rFonts w:ascii="Arial" w:cs="Arial" w:eastAsia="Arial" w:hAnsi="Arial"/>
          <w:sz w:val="16"/>
          <w:szCs w:val="16"/>
          <w:color w:val="000000"/>
        </w:rPr>
        <w:t>the notes to the consolidated financial statements included elsewhere in this Annual Report for discussion of the sale.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(Loss) from Equity Method Investments</w:t>
      </w:r>
    </w:p>
    <w:p>
      <w:pPr>
        <w:spacing w:after="0" w:line="241" w:lineRule="exact"/>
        <w:rPr>
          <w:sz w:val="20"/>
          <w:szCs w:val="20"/>
          <w:color w:val="auto"/>
        </w:rPr>
      </w:pPr>
    </w:p>
    <w:p>
      <w:pPr>
        <w:jc w:val="both"/>
        <w:ind w:firstLine="632"/>
        <w:spacing w:after="0" w:line="287" w:lineRule="auto"/>
        <w:rPr>
          <w:rFonts w:ascii="Arial" w:cs="Arial" w:eastAsia="Arial" w:hAnsi="Arial"/>
          <w:sz w:val="16"/>
          <w:szCs w:val="16"/>
          <w:color w:val="0000FF"/>
        </w:rPr>
      </w:pPr>
      <w:r>
        <w:rPr>
          <w:rFonts w:ascii="Arial" w:cs="Arial" w:eastAsia="Arial" w:hAnsi="Arial"/>
          <w:sz w:val="16"/>
          <w:szCs w:val="16"/>
          <w:color w:val="auto"/>
        </w:rPr>
        <w:t xml:space="preserve">Income from equity method investments was $14.8 million in 2021 compared to a loss of $9.9 million in 2020, primarily due to the 2020 period including a proportional charge of $15.8 million in goodwill impairment recorded by an investee. The remaining change primarily stemmed from the addition of $5.6 million in income from the WTG joint venture acquired in the fourth quarter of 2021, and a general recovery in the operations of our other equity </w:t>
      </w:r>
      <w:hyperlink w:anchor="page86">
        <w:r>
          <w:rPr>
            <w:rFonts w:ascii="Arial" w:cs="Arial" w:eastAsia="Arial" w:hAnsi="Arial"/>
            <w:sz w:val="16"/>
            <w:szCs w:val="16"/>
            <w:color w:val="auto"/>
          </w:rPr>
          <w:t>method investments in 2021 after the oil and gas industry downturn due to the COVID-19 pandemic and other economic factors in 2020. See Note 7—</w:t>
        </w:r>
        <w:r>
          <w:rPr>
            <w:rFonts w:ascii="Arial" w:cs="Arial" w:eastAsia="Arial" w:hAnsi="Arial"/>
            <w:sz w:val="16"/>
            <w:szCs w:val="16"/>
            <w:u w:val="single" w:color="auto"/>
            <w:color w:val="0000FF"/>
          </w:rPr>
          <w:t>Equity</w:t>
        </w:r>
      </w:hyperlink>
      <w:r>
        <w:rPr>
          <w:rFonts w:ascii="Arial" w:cs="Arial" w:eastAsia="Arial" w:hAnsi="Arial"/>
          <w:sz w:val="16"/>
          <w:szCs w:val="16"/>
          <w:color w:val="auto"/>
        </w:rPr>
        <w:t xml:space="preserve"> </w:t>
      </w:r>
      <w:hyperlink w:anchor="page86">
        <w:r>
          <w:rPr>
            <w:rFonts w:ascii="Arial" w:cs="Arial" w:eastAsia="Arial" w:hAnsi="Arial"/>
            <w:sz w:val="16"/>
            <w:szCs w:val="16"/>
            <w:u w:val="single" w:color="auto"/>
            <w:color w:val="0000FF"/>
          </w:rPr>
          <w:t>Method Investments</w:t>
        </w:r>
        <w:r>
          <w:rPr>
            <w:rFonts w:ascii="Arial" w:cs="Arial" w:eastAsia="Arial" w:hAnsi="Arial"/>
            <w:sz w:val="16"/>
            <w:szCs w:val="16"/>
            <w:color w:val="0000FF"/>
          </w:rPr>
          <w:t xml:space="preserve"> </w:t>
        </w:r>
        <w:r>
          <w:rPr>
            <w:rFonts w:ascii="Arial" w:cs="Arial" w:eastAsia="Arial" w:hAnsi="Arial"/>
            <w:sz w:val="16"/>
            <w:szCs w:val="16"/>
            <w:color w:val="000000"/>
          </w:rPr>
          <w:t>in the notes to the consolidated financial statements included elsewhere in this Annual Report for additional discussion.</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28" w:lineRule="exact"/>
        <w:rPr>
          <w:sz w:val="20"/>
          <w:szCs w:val="20"/>
          <w:color w:val="auto"/>
        </w:rPr>
      </w:pPr>
    </w:p>
    <w:p>
      <w:pPr>
        <w:jc w:val="both"/>
        <w:ind w:firstLine="632"/>
        <w:spacing w:after="0" w:line="221"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and liquidity requirements. Our primary sources of liquidity have included cash generated from operations, borrowings under the credit agreement and the issuance of the Notes. Our primary uses of capital have been for additions to property, plant and equipment, contributions to equity method investments, distributions to our unitholders and repurchases of our common units. As of December 31, 2021, we had approximately $425 million of liquidity consisting of $20 million in cash and $405 million available under the Operating Company’s revolving credit facility.</w:t>
      </w:r>
    </w:p>
    <w:p>
      <w:pPr>
        <w:spacing w:after="0" w:line="200"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6"/>
          <w:szCs w:val="16"/>
          <w:color w:val="auto"/>
        </w:rPr>
        <w:t>Our working capital requirements are supported by our cash and the revolving credit facility. We believe that cash generated from the sources discussed above will be sufficient to meet our short-term and long-term funding requirements including our capital spending programs, distribution payments, repayment of the Operating Company’s revolving credit facility, repurchase program, expenses under the services and secondment agreement with Diamondback and other amounts that may ultimately be paid in connection with commitments and contingencies. We do not have any commitment from Diamondback, our General Partner or any of their respective affiliates to fund our cash flow deficits or provide other direct or indirect financial assistance to us. Although we expect that our sources of capital will be adequate to fund our short-term and long-term liquidity requirements, should we require additional capital, the indirect effect of volatile commodity markets and/or adverse macroeconomic conditions may limit our access to, or increase our cost of, capital or make capital unavailable on terms acceptable to us or at all.</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6"/>
                <w:szCs w:val="16"/>
                <w:b w:val="1"/>
                <w:bCs w:val="1"/>
                <w:color w:val="auto"/>
              </w:rPr>
              <w:t>Year Ended December 31,</w:t>
            </w:r>
          </w:p>
        </w:tc>
      </w:tr>
      <w:tr>
        <w:trPr>
          <w:trHeight w:val="204"/>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04"/>
        </w:trPr>
        <w:tc>
          <w:tcPr>
            <w:tcW w:w="8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7"/>
                <w:szCs w:val="17"/>
                <w:color w:val="auto"/>
              </w:rPr>
            </w:pPr>
          </w:p>
        </w:tc>
      </w:tr>
      <w:tr>
        <w:trPr>
          <w:trHeight w:val="22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229,899</w:t>
            </w:r>
          </w:p>
        </w:tc>
      </w:tr>
      <w:tr>
        <w:trPr>
          <w:trHeight w:val="224"/>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(180,809)</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r>
      <w:tr>
        <w:trPr>
          <w:trHeight w:val="217"/>
        </w:trPr>
        <w:tc>
          <w:tcPr>
            <w:tcW w:w="8060" w:type="dxa"/>
            <w:vAlign w:val="bottom"/>
          </w:tcPr>
          <w:p>
            <w:pPr>
              <w:ind w:left="22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13,294</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jc w:val="both"/>
        <w:ind w:firstLine="632"/>
        <w:spacing w:after="0" w:line="283" w:lineRule="auto"/>
        <w:rPr>
          <w:rFonts w:ascii="Arial" w:cs="Arial" w:eastAsia="Arial" w:hAnsi="Arial"/>
          <w:sz w:val="16"/>
          <w:szCs w:val="16"/>
          <w:i w:val="1"/>
          <w:iCs w:val="1"/>
          <w:color w:val="0000FF"/>
        </w:rPr>
      </w:pPr>
      <w:r>
        <w:rPr>
          <w:rFonts w:ascii="Arial" w:cs="Arial" w:eastAsia="Arial" w:hAnsi="Arial"/>
          <w:sz w:val="16"/>
          <w:szCs w:val="16"/>
          <w:color w:val="auto"/>
        </w:rPr>
        <w:t xml:space="preserve">Net cash provided by operating activities increased by $18.2 million during the year ended December 31, 2021 compared to the year ended December 31, 2020, primarily due to distributions representing returns on investment from our equity method investments of $34.7 million, a decrease in direct operating expenses of $28.5 million, and an $8.1 million fluctuation in working capital primarily due to the timing of when collections are made on accounts receivable and payments are made on accounts payable and accrued liabilities. These increases in cash flow were partially offset by a $27.6 million decline in revenues, an increase in cash paid for interest of $21.8 million, and less significant increases in cost of goods sold and cash general and administrative costs. See </w:t>
      </w:r>
      <w:hyperlink w:anchor="page39">
        <w:r>
          <w:rPr>
            <w:rFonts w:ascii="Arial" w:cs="Arial" w:eastAsia="Arial" w:hAnsi="Arial"/>
            <w:sz w:val="16"/>
            <w:szCs w:val="16"/>
            <w:i w:val="1"/>
            <w:iCs w:val="1"/>
            <w:u w:val="single" w:color="auto"/>
            <w:color w:val="0000FF"/>
          </w:rPr>
          <w:t>—</w:t>
        </w:r>
      </w:hyperlink>
      <w:r>
        <w:rPr>
          <w:rFonts w:ascii="Arial" w:cs="Arial" w:eastAsia="Arial" w:hAnsi="Arial"/>
          <w:sz w:val="16"/>
          <w:szCs w:val="16"/>
          <w:color w:val="auto"/>
        </w:rPr>
        <w:t xml:space="preserve"> </w:t>
      </w:r>
      <w:hyperlink w:anchor="page39">
        <w:r>
          <w:rPr>
            <w:rFonts w:ascii="Arial" w:cs="Arial" w:eastAsia="Arial" w:hAnsi="Arial"/>
            <w:sz w:val="16"/>
            <w:szCs w:val="16"/>
            <w:i w:val="1"/>
            <w:iCs w:val="1"/>
            <w:u w:val="single" w:color="auto"/>
            <w:color w:val="0000FF"/>
          </w:rPr>
          <w:t>Results of Operations</w:t>
        </w:r>
        <w:r>
          <w:rPr>
            <w:rFonts w:ascii="Arial" w:cs="Arial" w:eastAsia="Arial" w:hAnsi="Arial"/>
            <w:sz w:val="16"/>
            <w:szCs w:val="16"/>
            <w:i w:val="1"/>
            <w:iCs w:val="1"/>
            <w:color w:val="0000FF"/>
          </w:rPr>
          <w:t xml:space="preserve"> </w:t>
        </w:r>
      </w:hyperlink>
      <w:r>
        <w:rPr>
          <w:rFonts w:ascii="Arial" w:cs="Arial" w:eastAsia="Arial" w:hAnsi="Arial"/>
          <w:sz w:val="16"/>
          <w:szCs w:val="16"/>
          <w:color w:val="000000"/>
        </w:rPr>
        <w:t>for</w:t>
      </w:r>
      <w:r>
        <w:rPr>
          <w:rFonts w:ascii="Arial" w:cs="Arial" w:eastAsia="Arial" w:hAnsi="Arial"/>
          <w:sz w:val="16"/>
          <w:szCs w:val="16"/>
          <w:i w:val="1"/>
          <w:iCs w:val="1"/>
          <w:color w:val="0000FF"/>
        </w:rPr>
        <w:t xml:space="preserve"> </w:t>
      </w:r>
      <w:r>
        <w:rPr>
          <w:rFonts w:ascii="Arial" w:cs="Arial" w:eastAsia="Arial" w:hAnsi="Arial"/>
          <w:sz w:val="16"/>
          <w:szCs w:val="16"/>
          <w:color w:val="000000"/>
        </w:rPr>
        <w:t>further discussion of changes in revenue, operating expenses and interest expense and Note 7—</w:t>
      </w:r>
      <w:r>
        <w:rPr>
          <w:rFonts w:ascii="Arial" w:cs="Arial" w:eastAsia="Arial" w:hAnsi="Arial"/>
          <w:sz w:val="16"/>
          <w:szCs w:val="16"/>
          <w:u w:val="single" w:color="auto"/>
          <w:color w:val="0000FF"/>
        </w:rPr>
        <w:t>Equity Method Investments</w:t>
      </w:r>
      <w:r>
        <w:rPr>
          <w:rFonts w:ascii="Arial" w:cs="Arial" w:eastAsia="Arial" w:hAnsi="Arial"/>
          <w:sz w:val="16"/>
          <w:szCs w:val="16"/>
          <w:i w:val="1"/>
          <w:iCs w:val="1"/>
          <w:color w:val="0000FF"/>
        </w:rPr>
        <w:t xml:space="preserve"> </w:t>
      </w:r>
      <w:r>
        <w:rPr>
          <w:rFonts w:ascii="Arial" w:cs="Arial" w:eastAsia="Arial" w:hAnsi="Arial"/>
          <w:sz w:val="16"/>
          <w:szCs w:val="16"/>
          <w:color w:val="000000"/>
        </w:rPr>
        <w:t>in the</w:t>
      </w:r>
      <w:r>
        <w:rPr>
          <w:rFonts w:ascii="Arial" w:cs="Arial" w:eastAsia="Arial" w:hAnsi="Arial"/>
          <w:sz w:val="16"/>
          <w:szCs w:val="16"/>
          <w:i w:val="1"/>
          <w:iCs w:val="1"/>
          <w:color w:val="0000FF"/>
        </w:rPr>
        <w:t xml:space="preserve"> </w:t>
      </w:r>
      <w:r>
        <w:rPr>
          <w:rFonts w:ascii="Arial" w:cs="Arial" w:eastAsia="Arial" w:hAnsi="Arial"/>
          <w:sz w:val="16"/>
          <w:szCs w:val="16"/>
          <w:color w:val="000000"/>
        </w:rPr>
        <w:t>notes to the consolidated financial statements included elsewhere in this Annual Report for further discussion of distributions.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jc w:val="both"/>
        <w:ind w:firstLine="632"/>
        <w:spacing w:after="0" w:line="250" w:lineRule="auto"/>
        <w:rPr>
          <w:rFonts w:ascii="Arial" w:cs="Arial" w:eastAsia="Arial" w:hAnsi="Arial"/>
          <w:sz w:val="18"/>
          <w:szCs w:val="18"/>
          <w:i w:val="1"/>
          <w:iCs w:val="1"/>
          <w:color w:val="0000FF"/>
        </w:rPr>
      </w:pPr>
      <w:r>
        <w:rPr>
          <w:rFonts w:ascii="Arial" w:cs="Arial" w:eastAsia="Arial" w:hAnsi="Arial"/>
          <w:sz w:val="18"/>
          <w:szCs w:val="18"/>
          <w:color w:val="auto"/>
        </w:rPr>
        <w:t xml:space="preserve">Net cash used in investing activities was $183.3 million for the year ended December 31, 2021 and consisted primarily of (i) a payment of $160.0 million for the Drop Down acquisition, (ii) contributions of $113.6 million to our equity method investments, including the initial investment in the WTG joint venture, and (iii) other capital expenditures of $32.2 million which primarily related to our produced water disposal assets, See </w:t>
      </w:r>
      <w:hyperlink w:anchor="page37">
        <w:r>
          <w:rPr>
            <w:rFonts w:ascii="Arial" w:cs="Arial" w:eastAsia="Arial" w:hAnsi="Arial"/>
            <w:sz w:val="18"/>
            <w:szCs w:val="18"/>
            <w:i w:val="1"/>
            <w:iCs w:val="1"/>
            <w:u w:val="single" w:color="auto"/>
            <w:color w:val="0000FF"/>
          </w:rPr>
          <w:t>—2021 Transactions and</w:t>
        </w:r>
      </w:hyperlink>
      <w:r>
        <w:rPr>
          <w:rFonts w:ascii="Arial" w:cs="Arial" w:eastAsia="Arial" w:hAnsi="Arial"/>
          <w:sz w:val="18"/>
          <w:szCs w:val="18"/>
          <w:color w:val="auto"/>
        </w:rPr>
        <w:t xml:space="preserve"> </w:t>
      </w:r>
      <w:hyperlink w:anchor="page37">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0000FF"/>
          </w:rPr>
          <w:t xml:space="preserve"> </w:t>
        </w:r>
      </w:hyperlink>
      <w:r>
        <w:rPr>
          <w:rFonts w:ascii="Arial" w:cs="Arial" w:eastAsia="Arial" w:hAnsi="Arial"/>
          <w:sz w:val="18"/>
          <w:szCs w:val="18"/>
          <w:color w:val="000000"/>
        </w:rPr>
        <w:t>for</w:t>
      </w:r>
      <w:r>
        <w:rPr>
          <w:rFonts w:ascii="Arial" w:cs="Arial" w:eastAsia="Arial" w:hAnsi="Arial"/>
          <w:sz w:val="18"/>
          <w:szCs w:val="18"/>
          <w:i w:val="1"/>
          <w:iCs w:val="1"/>
          <w:color w:val="0000FF"/>
        </w:rPr>
        <w:t xml:space="preserve"> </w:t>
      </w:r>
      <w:r>
        <w:rPr>
          <w:rFonts w:ascii="Arial" w:cs="Arial" w:eastAsia="Arial" w:hAnsi="Arial"/>
          <w:sz w:val="18"/>
          <w:szCs w:val="18"/>
          <w:color w:val="000000"/>
        </w:rPr>
        <w:t>additional discussion of these expenditures.</w:t>
      </w:r>
    </w:p>
    <w:p>
      <w:pPr>
        <w:spacing w:after="0" w:line="218"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Cash outflows for investing activities in 2021 were partially offset by proceeds from divestitures of $113.3 million, and $9.1 million in distributions considered to be returns of investment received from certain of our equity method investments prior to placing constructed assets in service.</w:t>
      </w:r>
    </w:p>
    <w:p>
      <w:pPr>
        <w:spacing w:after="0" w:line="160"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Net cash used in investing activities was $180.8 million for the year ended December 31, 2020, and primarily related to $136.8 million in capital expenditures and $102.5 million in contributions to our equity method investments. Our capital expenditures consisted of (i) $111.2 million for our produced water disposal assets, (ii) $8.9 million for our natural gas gathering assets, (iii) $8.2 million for our sourced water assets, (iv) $7.9 million for our crude oil gathering assets and (v) $0.6 million for our real estate assets.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cash used in financing activities was $68.8 million during the year ended December 31, 2021, and primarily related to distributions paid to our unitholders of $133.7 million, net payments on the revolving credit facility of $116.0 million and $47.6 million in repurchases of common units under our repurchase program.</w:t>
      </w:r>
    </w:p>
    <w:p>
      <w:pPr>
        <w:spacing w:after="0" w:line="21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cash used in financing activities was $35.8 million during the year ended December 31, 2020, and primarily related to net payments on the revolving credit facility of $345.0 million and distributions to our unitholders of $162.4 million, which were largely offset by proceeds from the notes offering of $500.0 million.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4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28"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Operating Company’s credit agreement provides for a revolving credit facility in the maximum credit amount of $600.0 million, which is expandable to $1.0 billion upon our election, subject to obtaining additional lender commitments and satisfaction of customary conditions.</w:t>
      </w:r>
    </w:p>
    <w:p>
      <w:pPr>
        <w:spacing w:after="0" w:line="134" w:lineRule="exact"/>
        <w:rPr>
          <w:sz w:val="20"/>
          <w:szCs w:val="20"/>
          <w:color w:val="auto"/>
        </w:rPr>
      </w:pPr>
    </w:p>
    <w:p>
      <w:pPr>
        <w:jc w:val="both"/>
        <w:ind w:firstLine="632"/>
        <w:spacing w:after="0" w:line="362" w:lineRule="auto"/>
        <w:rPr>
          <w:sz w:val="20"/>
          <w:szCs w:val="20"/>
          <w:color w:val="auto"/>
        </w:rPr>
      </w:pPr>
      <w:r>
        <w:rPr>
          <w:rFonts w:ascii="Arial" w:cs="Arial" w:eastAsia="Arial" w:hAnsi="Arial"/>
          <w:sz w:val="15"/>
          <w:szCs w:val="15"/>
          <w:color w:val="auto"/>
        </w:rPr>
        <w:t>As of December 31, 2021, there was $195.0 million of outstanding borrowings under the Operating Company’s revolving credit facility. The weighted average interest rate on borrowings under the credit agreement was 1.41% for the year ended December 31, 2021. The revolving credit facility matures in 2024.</w:t>
      </w:r>
    </w:p>
    <w:p>
      <w:pPr>
        <w:spacing w:after="0" w:line="11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As of December 31, 2021, the Operating Company was in compliance and expects to be in compliance with all financial maintenance covenants under the credit agreement.</w:t>
      </w:r>
    </w:p>
    <w:p>
      <w:pPr>
        <w:spacing w:after="0" w:line="180"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For additional information regarding the revolving credit facility and outstanding debt, see Note 8—</w:t>
      </w:r>
      <w:hyperlink w:anchor="page8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2022 Capital Budget</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midstream energy business is capital intensive, requiring the maintenance of existing gathering systems and other midstream assets and facilities and the acquisition or construction and development of new gathering systems and other midstream assets and facilities. However, with respect to capital expenditures incurred for acquisitions or capital improvements, we have some discretion and control. In a time of reduced operational activity,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Subject to financing alternatives, we may also increase our capital expenditures significantly to take advantage of opportunities we consider to be attractive. We consistently monitor and may adjust our projected capital expenditures in response to factors both within and outside our control.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estimate that our total capital expenditures related to midstream assets for 2022 will be between $80 million and $100 million. Our estimated capital expenditures do not include our anticipated total capital commitments related to our equity method investments of approximately $10 million to $15 million. We also estimate we will receive $45 million to $55 million in distributions related to our equity method investments. However, this range could change due to the continued impact, either directly or indirectly, of the COVID-19 pandemic or volatility in crude oil prices on our business.</w:t>
      </w:r>
    </w:p>
    <w:p>
      <w:pPr>
        <w:spacing w:after="0" w:line="188" w:lineRule="exact"/>
        <w:rPr>
          <w:sz w:val="20"/>
          <w:szCs w:val="20"/>
          <w:color w:val="auto"/>
        </w:rPr>
      </w:pPr>
    </w:p>
    <w:p>
      <w:pPr>
        <w:ind w:right="60" w:firstLine="632"/>
        <w:spacing w:after="0" w:line="253" w:lineRule="auto"/>
        <w:rPr>
          <w:sz w:val="20"/>
          <w:szCs w:val="20"/>
          <w:color w:val="auto"/>
        </w:rPr>
      </w:pPr>
      <w:r>
        <w:rPr>
          <w:rFonts w:ascii="Arial" w:cs="Arial" w:eastAsia="Arial" w:hAnsi="Arial"/>
          <w:sz w:val="18"/>
          <w:szCs w:val="18"/>
          <w:color w:val="auto"/>
        </w:rPr>
        <w:t>As of February 18, 2022, we own equity interests in the EPIC, Gray Oak, Wink to Webster, OMOG, WTG Midstream and BANGL joint ventures. Each of these joint ventures is accounted for using the equity method. The following table sets forth our cumulative capital contributions and anticipated future capital commitment for each of our equity method investment interests:</w:t>
      </w: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Ownership Interest</w:t>
            </w:r>
          </w:p>
        </w:tc>
        <w:tc>
          <w:tcPr>
            <w:tcW w:w="198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Acquisition Date</w:t>
            </w:r>
          </w:p>
        </w:tc>
        <w:tc>
          <w:tcPr>
            <w:tcW w:w="220" w:type="dxa"/>
            <w:vAlign w:val="bottom"/>
          </w:tcPr>
          <w:p>
            <w:pPr>
              <w:spacing w:after="0"/>
              <w:rPr>
                <w:sz w:val="15"/>
                <w:szCs w:val="15"/>
                <w:color w:val="auto"/>
              </w:rPr>
            </w:pPr>
          </w:p>
        </w:tc>
        <w:tc>
          <w:tcPr>
            <w:tcW w:w="2000" w:type="dxa"/>
            <w:vAlign w:val="bottom"/>
          </w:tcPr>
          <w:p>
            <w:pPr>
              <w:jc w:val="right"/>
              <w:ind w:right="374"/>
              <w:spacing w:after="0" w:line="175" w:lineRule="exact"/>
              <w:rPr>
                <w:sz w:val="20"/>
                <w:szCs w:val="20"/>
                <w:color w:val="auto"/>
              </w:rPr>
            </w:pPr>
            <w:r>
              <w:rPr>
                <w:rFonts w:ascii="Arial" w:cs="Arial" w:eastAsia="Arial" w:hAnsi="Arial"/>
                <w:sz w:val="16"/>
                <w:szCs w:val="16"/>
                <w:b w:val="1"/>
                <w:bCs w:val="1"/>
                <w:color w:val="auto"/>
              </w:rPr>
              <w:t>Cumulative Capital</w:t>
            </w:r>
          </w:p>
        </w:tc>
        <w:tc>
          <w:tcPr>
            <w:tcW w:w="200" w:type="dxa"/>
            <w:vAlign w:val="bottom"/>
          </w:tcPr>
          <w:p>
            <w:pPr>
              <w:spacing w:after="0"/>
              <w:rPr>
                <w:sz w:val="15"/>
                <w:szCs w:val="15"/>
                <w:color w:val="auto"/>
              </w:rPr>
            </w:pPr>
          </w:p>
        </w:tc>
        <w:tc>
          <w:tcPr>
            <w:tcW w:w="2060" w:type="dxa"/>
            <w:vAlign w:val="bottom"/>
          </w:tcPr>
          <w:p>
            <w:pPr>
              <w:jc w:val="right"/>
              <w:ind w:right="94"/>
              <w:spacing w:after="0" w:line="175" w:lineRule="exact"/>
              <w:rPr>
                <w:sz w:val="20"/>
                <w:szCs w:val="20"/>
                <w:color w:val="auto"/>
              </w:rPr>
            </w:pPr>
            <w:r>
              <w:rPr>
                <w:rFonts w:ascii="Arial" w:cs="Arial" w:eastAsia="Arial" w:hAnsi="Arial"/>
                <w:sz w:val="16"/>
                <w:szCs w:val="16"/>
                <w:b w:val="1"/>
                <w:bCs w:val="1"/>
                <w:color w:val="auto"/>
                <w:w w:val="93"/>
              </w:rPr>
              <w:t>Anticipated Future Capital</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right"/>
              <w:ind w:right="314"/>
              <w:spacing w:after="0"/>
              <w:rPr>
                <w:sz w:val="20"/>
                <w:szCs w:val="20"/>
                <w:color w:val="auto"/>
              </w:rPr>
            </w:pPr>
            <w:r>
              <w:rPr>
                <w:rFonts w:ascii="Arial" w:cs="Arial" w:eastAsia="Arial" w:hAnsi="Arial"/>
                <w:sz w:val="16"/>
                <w:szCs w:val="16"/>
                <w:b w:val="1"/>
                <w:bCs w:val="1"/>
                <w:color w:val="auto"/>
                <w:w w:val="96"/>
              </w:rPr>
              <w:t>Contributions to Date</w:t>
            </w:r>
          </w:p>
        </w:tc>
        <w:tc>
          <w:tcPr>
            <w:tcW w:w="200" w:type="dxa"/>
            <w:vAlign w:val="bottom"/>
          </w:tcPr>
          <w:p>
            <w:pPr>
              <w:spacing w:after="0"/>
              <w:rPr>
                <w:sz w:val="18"/>
                <w:szCs w:val="18"/>
                <w:color w:val="auto"/>
              </w:rPr>
            </w:pPr>
          </w:p>
        </w:tc>
        <w:tc>
          <w:tcPr>
            <w:tcW w:w="2060" w:type="dxa"/>
            <w:vAlign w:val="bottom"/>
          </w:tcPr>
          <w:p>
            <w:pPr>
              <w:jc w:val="right"/>
              <w:ind w:right="554"/>
              <w:spacing w:after="0"/>
              <w:rPr>
                <w:sz w:val="20"/>
                <w:szCs w:val="20"/>
                <w:color w:val="auto"/>
              </w:rPr>
            </w:pPr>
            <w:r>
              <w:rPr>
                <w:rFonts w:ascii="Arial" w:cs="Arial" w:eastAsia="Arial" w:hAnsi="Arial"/>
                <w:sz w:val="16"/>
                <w:szCs w:val="16"/>
                <w:b w:val="1"/>
                <w:bCs w:val="1"/>
                <w:color w:val="auto"/>
              </w:rPr>
              <w:t>Commitment</w:t>
            </w:r>
          </w:p>
        </w:tc>
        <w:tc>
          <w:tcPr>
            <w:tcW w:w="0" w:type="dxa"/>
            <w:vAlign w:val="bottom"/>
          </w:tcPr>
          <w:p>
            <w:pPr>
              <w:spacing w:after="0"/>
              <w:rPr>
                <w:sz w:val="1"/>
                <w:szCs w:val="1"/>
                <w:color w:val="auto"/>
              </w:rPr>
            </w:pPr>
          </w:p>
        </w:tc>
      </w:tr>
      <w:tr>
        <w:trPr>
          <w:trHeight w:val="220"/>
        </w:trPr>
        <w:tc>
          <w:tcPr>
            <w:tcW w:w="33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60" w:type="dxa"/>
            <w:vAlign w:val="bottom"/>
            <w:tcBorders>
              <w:top w:val="single" w:sz="8" w:color="auto"/>
            </w:tcBorders>
            <w:gridSpan w:val="3"/>
          </w:tcPr>
          <w:p>
            <w:pPr>
              <w:jc w:val="right"/>
              <w:ind w:right="1614"/>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February 1, 2019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138,034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15, 2019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142,096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July 30, 2019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89,453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3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1, 2019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218,555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Remuda Midstream Holdings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October 5, 2021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104,502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BANGL, LLC</w:t>
            </w: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January 19, 2022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22,150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60"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7—</w:t>
      </w:r>
      <w:hyperlink w:anchor="page86">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16—</w:t>
      </w:r>
      <w:hyperlink w:anchor="page98">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 for further discussion regarding our equity method investments.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Volume Commitment Agreement</w:t>
      </w:r>
    </w:p>
    <w:p>
      <w:pPr>
        <w:spacing w:after="0" w:line="241" w:lineRule="exact"/>
        <w:rPr>
          <w:sz w:val="20"/>
          <w:szCs w:val="20"/>
          <w:color w:val="auto"/>
        </w:rPr>
      </w:pPr>
    </w:p>
    <w:p>
      <w:pPr>
        <w:jc w:val="both"/>
        <w:ind w:firstLine="632"/>
        <w:spacing w:after="0" w:line="250" w:lineRule="auto"/>
        <w:rPr>
          <w:rFonts w:ascii="Arial" w:cs="Arial" w:eastAsia="Arial" w:hAnsi="Arial"/>
          <w:sz w:val="18"/>
          <w:szCs w:val="18"/>
          <w:color w:val="auto"/>
        </w:rPr>
      </w:pPr>
      <w:r>
        <w:rPr>
          <w:rFonts w:ascii="Arial" w:cs="Arial" w:eastAsia="Arial" w:hAnsi="Arial"/>
          <w:sz w:val="18"/>
          <w:szCs w:val="18"/>
          <w:color w:val="auto"/>
        </w:rPr>
        <w:t>As discussed in Note 15—</w:t>
      </w:r>
      <w:hyperlink w:anchor="page98">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 the Partnership has a water services agreement for produced water disposal services through 2034. The aggregate remaining minimum commitment is $51.1 million, with approximately $4.6 million due in each of the years from 2022 through 2025, $3.7 million due in 2026 and the remainder due in the years thereafter.</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Unit Repurchase Program</w:t>
      </w:r>
    </w:p>
    <w:p>
      <w:pPr>
        <w:spacing w:after="0" w:line="241" w:lineRule="exact"/>
        <w:rPr>
          <w:sz w:val="20"/>
          <w:szCs w:val="20"/>
          <w:color w:val="auto"/>
        </w:rPr>
      </w:pPr>
    </w:p>
    <w:p>
      <w:pPr>
        <w:jc w:val="both"/>
        <w:ind w:firstLine="632"/>
        <w:spacing w:after="0" w:line="270" w:lineRule="auto"/>
        <w:rPr>
          <w:rFonts w:ascii="Arial" w:cs="Arial" w:eastAsia="Arial" w:hAnsi="Arial"/>
          <w:sz w:val="16"/>
          <w:szCs w:val="16"/>
          <w:color w:val="auto"/>
        </w:rPr>
      </w:pPr>
      <w:r>
        <w:rPr>
          <w:rFonts w:ascii="Arial" w:cs="Arial" w:eastAsia="Arial" w:hAnsi="Arial"/>
          <w:sz w:val="16"/>
          <w:szCs w:val="16"/>
          <w:color w:val="auto"/>
        </w:rPr>
        <w:t>In October 2021, the board of directors of our General Partner approved an increase of the authorization of our common unit repurchase program to $150.0 million of the Partnership’s outstanding common units and extended the program indefinitely. During the year ended December 31, 2021, we repurchased approximately $47.6 million of common units under the repurchase program. As of December 31, 2021, $87.7 million remained available for future repurchases of our common units under our program. See Note 10—</w:t>
      </w:r>
      <w:hyperlink w:anchor="page91">
        <w:r>
          <w:rPr>
            <w:rFonts w:ascii="Arial" w:cs="Arial" w:eastAsia="Arial" w:hAnsi="Arial"/>
            <w:sz w:val="16"/>
            <w:szCs w:val="16"/>
            <w:u w:val="single" w:color="auto"/>
            <w:color w:val="0000FF"/>
          </w:rPr>
          <w:t>Unitholders' Equity and Distributions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the consolidated financial statements included elsewhere in this Annual Report for further discussion of the common unit repurchase program.</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Distributions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do not have a minimum quarterly distribution or employ structures intended to consistently maintain or increase distributions over time. The board of directors of our General Partner may change our distribution policy at any time and from time to time. Our partnership agreement does not require us to pay distributions to our common unitholders on a quarterly basis or other basis.</w:t>
      </w:r>
    </w:p>
    <w:p>
      <w:pPr>
        <w:spacing w:after="0" w:line="21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On February 16, 2022, the board of directors of the General Partner approved a cash distribution for the fourth quarter of 2021 of $0.30 per common unit, payable on March 14, 2022, to common unitholders of record at the close of business on March 7, 2022.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Critical accounting policies cover accounting estimates that are inherently uncertain because the future resolution of such matters is unknown and actual results could differ from those estimates.</w:t>
      </w:r>
    </w:p>
    <w:p>
      <w:pPr>
        <w:spacing w:after="0" w:line="19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 Significant items subject to such estimates and assumptions include (i) accounting for equity method investments and (ii) estimate of income taxes.</w:t>
      </w:r>
    </w:p>
    <w:p>
      <w:pPr>
        <w:spacing w:after="0" w:line="21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consider the following to be our most critical accounting estimates and have reviewed these critical accounting estimates with the Audit Committee of our Board of Directors.</w:t>
      </w:r>
    </w:p>
    <w:p>
      <w:pPr>
        <w:spacing w:after="0" w:line="20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Below, we have provided expanded discussion of our most critical accounting estimates, assumptions, judgments and uncertainties that are inherent in our application of GAAP.</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8"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6"/>
          <w:szCs w:val="16"/>
          <w:color w:val="auto"/>
        </w:rPr>
        <w:t>We review our investments to determine if a loss in value which is other than a temporary decline has occurred when events indicate the carrying value of the investment may not be recoverable. When such indicators are present and the decline in value is considered to be other than temporary the carrying value of the investment is written down to its fair value. In making the determination as to whether a decline is other than temporary, we consider such factors as the length of time the fair value is below the investor’s carrying value, current expected performance relative to expected performance when we initially invested in the investee, the investee’s performance relative to peers, the industry’s performance relative to the economy, regulatory actions, the investee’s ability to refinance its debt in future periods, and estimated discounted cash flows for the investment, among other factors. Such analysis requires management to make significant estimates and assumptions and apply judgment based on historical experience. If such a loss has occurred, we recognize an impairment provision and do not increase the cost basis of the investment for subsequent recoveries in fair value. A reduction of the carrying value of equity method investments would represent a Level 3 fair value measurement.</w:t>
      </w:r>
    </w:p>
    <w:p>
      <w:pPr>
        <w:spacing w:after="0" w:line="200"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6"/>
          <w:szCs w:val="16"/>
          <w:color w:val="auto"/>
        </w:rPr>
        <w:t xml:space="preserve">Based on indicators present at December 31, 2021, we reviewed our investment in EPIC for impairment utilizing an estimate of fair value calculated in a discounted cash flow model in accordance with the income approach in </w:t>
      </w:r>
      <w:r>
        <w:rPr>
          <w:rFonts w:ascii="Arial" w:cs="Arial" w:eastAsia="Arial" w:hAnsi="Arial"/>
          <w:sz w:val="16"/>
          <w:szCs w:val="16"/>
          <w:i w:val="1"/>
          <w:iCs w:val="1"/>
          <w:color w:val="auto"/>
        </w:rPr>
        <w:t>ASC 820— Fair Value Measurement.</w:t>
      </w:r>
      <w:r>
        <w:rPr>
          <w:rFonts w:ascii="Arial" w:cs="Arial" w:eastAsia="Arial" w:hAnsi="Arial"/>
          <w:sz w:val="16"/>
          <w:szCs w:val="16"/>
          <w:color w:val="auto"/>
        </w:rPr>
        <w:t xml:space="preserve"> The discounted cash flow model incorporates our expectations of EPIC’s future revenue, operating expenses, and non-operating expenses including debt service costs based on expected future debt levels, and discounts the projected cash flows to the current fair value using an estimated weighted average cost of capital at the date of valuation. The resulting fair value was below the current carrying value of the EPIC investment. However, based on our consideration of the factors noted above, among others, we determined the decline in fair value is temporary and, thus, no impairment expense was recorded at December 31, 2021. Key factors impacting our conclusion that the decline in fair value is temporary include forecasted increases in asset utilization based on published industry data, reported production increases by major producers transporting production on EPIC’s pipeline and a determination that EPIC will refinance its maturing debt obligations by 2026. Based on the subjectivity of the estimates included in the various scenarios of our fair value estimate, should our analysis of the factors above change in future periods, we could recognize an other than temporary impairment. The amount of future impairment, if any, will be based on updated assumptions at that time. If our estimate of fair value changes or if our conclusion regarding the temporary nature of any decline in fair value changes, it could have a material impact on our future consolidated financial statements and results of operations.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are treated as a corporation for U.S. federal income tax purposes. The amount of income taxes we record requires interpretations of complex rules and regulations of federal, state, provincial and foreign tax jurisdictions.</w:t>
      </w:r>
    </w:p>
    <w:p>
      <w:pPr>
        <w:spacing w:after="0" w:line="180"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We use the asset and liability method of accounting for income taxes, under which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and are often based on assumptions that are subject to a significant amount of judgment. These assumptions and judgments are reviewed and adjusted by management as facts and circumstances change. A valuation allowance is provided for deferred tax assets when it is more likely than not the deferred tax assets will not be realized after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considering all positive and negative evidence available concerning the realizability of our deferred tax assets. As of December 31, 2021, no such valuation allowance was determined to be necessary against our deferred tax asset of $62.4 million. However, any changes in the positive or negative evidence evaluated, including a change in our projected future income or losses due to a decline in economic conditions, or other estimates and considerations, could result in a material impact to our deferred tax assets and income tax expense.</w:t>
      </w:r>
    </w:p>
    <w:p>
      <w:pPr>
        <w:spacing w:after="0" w:line="218"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2—</w:t>
      </w:r>
      <w:hyperlink w:anchor="page77">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 for a full listing of our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See Note 2—</w:t>
      </w:r>
      <w:hyperlink w:anchor="page77">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Annual Report for recent accounting pronouncements and accounting policies not yet adopted, if any.</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We currently generate the majority of our revenues pursuant to fee-based agreements with Diamondback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an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materially adverse effect on our business.</w:t>
      </w:r>
    </w:p>
    <w:p>
      <w:pPr>
        <w:spacing w:after="0" w:line="22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may acquire or develop additional midstream assets in a manner that increases our exposure to commodity price risk. Future exposure to the volatility of crude oil, natural gas and NGLs prices could have a material adverse effect on our business, financial condition, results of operations, cash flows and ability to make cash distributions to our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We are subject to counterparty credit risk related to our midstream commercial contracts, lease agreements and joint venture receivables. We derive substantially all of our revenue from our commercial agreements with Diamondback. As a result, we are directly affected by changes to Diamondback’s business related to operational and business risks or otherwise. We cannot predict the extent to which Diamondback’s business would be impacted if conditions in the energy industry were to deteriorate, nor can we estimate the impact such conditions would have on Diamondback’s ability to execute its drilling and development program or to perform under our agreements. While we monitor the creditworthiness of purchasers, lessees and joint venture partners with which we conduct business, we are unable to predict sudden changes in solvency of these counterparties and may be exposed to associated risks. Non-performance by a counterparty could result in significant financial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at a rate elected by the Operating Company that is based on the prime rate or LIBOR, in each case plus margins ranging from 0.250% to 1.250%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As of December 31, 2021, we had $195.0 million of outstanding borrowings and $405.0 million available for future borrowings under the credit agreement. The weighted average interest rate on borrowings under the credit agreement was 1.41% for the year ended December 31, 2021.</w:t>
      </w:r>
    </w:p>
    <w:p>
      <w:pPr>
        <w:spacing w:after="0" w:line="16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3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47"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of December 31, 2021,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2021, our disclosure controls and procedures are effective.</w:t>
      </w:r>
    </w:p>
    <w:p>
      <w:pPr>
        <w:spacing w:after="0" w:line="188"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In July 2021, we implemented an enterprise resource planning system covering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accounting processes. As a result of this implementation, certain internal controls over financial reporting have been automated, modified or implemented to address the new environment associated with the implementation of this system. We believe we have maintained appropriate internal control over financial reporting during the implementation and believe this new system will strengthen our internal control system. However, there are inherent risks in implementing any new system, and we will continue to evaluate these control changes as part of our assessment of internal control over financial reporting. There have not been any changes in our internal control over financial reporting that occurred during the quarter ended December 31, 2021 that have materially affected, or are reasonably likely to materially affect, internal controls over financial reporting.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188"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 reporting and determined that the Partnership maintained effective internal control over financial reporting as of December 31,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i w:val="1"/>
          <w:iCs w:val="1"/>
          <w:color w:val="auto"/>
        </w:rPr>
        <w:t>Attestation Report of the Registered Public Accounting Firm</w:t>
      </w:r>
      <w:r>
        <w:rPr>
          <w:rFonts w:ascii="Arial" w:cs="Arial" w:eastAsia="Arial" w:hAnsi="Arial"/>
          <w:sz w:val="16"/>
          <w:szCs w:val="16"/>
          <w:color w:val="auto"/>
        </w:rPr>
        <w:t>. This Annual Report does not include an attestation report of the company’s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public accounting firm due to the SEC rules applicable to “emerging growth companies.” We will remain an “emerging growth company,” as defined in Rule 12b-2 of the Exchange Act, for up to five full fiscal years following the IPO, although we will lose such status sooner if we have more than $1.07 billion of revenues in a fiscal year, become a large accelerated filer or issue more than $1.07 billion of non-convertible debt cumulatively over a three-year period.</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Rattler Midstream LP</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managed and operated by the board of directors and the executive officers of our General Partner.</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Diamondback owns all of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21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and the General Partner of Viper. Our executive officers listed below allocate their time between managing our business and the businesses of Diamondback and Viper. Our executive officers intend, however, to devote as much time as is necessary for the proper conduct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following table presents information regarding the executive officers and directors of our General Partner as of January 31, 2022.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bottom w:val="single" w:sz="8" w:color="auto"/>
            </w:tcBorders>
          </w:tcPr>
          <w:p>
            <w:pPr>
              <w:jc w:val="center"/>
              <w:ind w:left="293"/>
              <w:spacing w:after="0"/>
              <w:rPr>
                <w:sz w:val="20"/>
                <w:szCs w:val="20"/>
                <w:color w:val="auto"/>
              </w:rPr>
            </w:pPr>
            <w:r>
              <w:rPr>
                <w:rFonts w:ascii="Arial" w:cs="Arial" w:eastAsia="Arial" w:hAnsi="Arial"/>
                <w:sz w:val="16"/>
                <w:szCs w:val="16"/>
                <w:b w:val="1"/>
                <w:bCs w:val="1"/>
                <w:color w:val="auto"/>
                <w:w w:val="85"/>
              </w:rPr>
              <w:t>Age</w:t>
            </w:r>
          </w:p>
        </w:tc>
        <w:tc>
          <w:tcPr>
            <w:tcW w:w="56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Position With Our General Partner</w:t>
            </w:r>
          </w:p>
        </w:tc>
      </w:tr>
      <w:tr>
        <w:trPr>
          <w:trHeight w:val="24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Travis D. Stice</w:t>
            </w:r>
          </w:p>
        </w:tc>
        <w:tc>
          <w:tcPr>
            <w:tcW w:w="14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60</w:t>
            </w:r>
          </w:p>
        </w:tc>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Chief Executive Officer and Director</w:t>
            </w:r>
          </w:p>
        </w:tc>
      </w:tr>
      <w:tr>
        <w:trPr>
          <w:trHeight w:val="263"/>
        </w:trPr>
        <w:tc>
          <w:tcPr>
            <w:tcW w:w="1940" w:type="dxa"/>
            <w:vAlign w:val="bottom"/>
          </w:tcPr>
          <w:p>
            <w:pPr>
              <w:spacing w:after="0"/>
              <w:rPr>
                <w:sz w:val="20"/>
                <w:szCs w:val="20"/>
                <w:color w:val="auto"/>
              </w:rPr>
            </w:pPr>
            <w:r>
              <w:rPr>
                <w:rFonts w:ascii="Arial" w:cs="Arial" w:eastAsia="Arial" w:hAnsi="Arial"/>
                <w:sz w:val="18"/>
                <w:szCs w:val="18"/>
                <w:color w:val="auto"/>
              </w:rPr>
              <w:t>Kaes Van't Hof</w:t>
            </w:r>
          </w:p>
        </w:tc>
        <w:tc>
          <w:tcPr>
            <w:tcW w:w="1400" w:type="dxa"/>
            <w:vAlign w:val="bottom"/>
          </w:tcPr>
          <w:p>
            <w:pPr>
              <w:jc w:val="center"/>
              <w:ind w:left="293"/>
              <w:spacing w:after="0"/>
              <w:rPr>
                <w:sz w:val="20"/>
                <w:szCs w:val="20"/>
                <w:color w:val="auto"/>
              </w:rPr>
            </w:pPr>
            <w:r>
              <w:rPr>
                <w:rFonts w:ascii="Arial" w:cs="Arial" w:eastAsia="Arial" w:hAnsi="Arial"/>
                <w:sz w:val="18"/>
                <w:szCs w:val="18"/>
                <w:color w:val="auto"/>
                <w:w w:val="89"/>
              </w:rPr>
              <w:t>35</w:t>
            </w:r>
          </w:p>
        </w:tc>
        <w:tc>
          <w:tcPr>
            <w:tcW w:w="5640" w:type="dxa"/>
            <w:vAlign w:val="bottom"/>
          </w:tcPr>
          <w:p>
            <w:pPr>
              <w:ind w:left="380"/>
              <w:spacing w:after="0"/>
              <w:rPr>
                <w:sz w:val="20"/>
                <w:szCs w:val="20"/>
                <w:color w:val="auto"/>
              </w:rPr>
            </w:pPr>
            <w:r>
              <w:rPr>
                <w:rFonts w:ascii="Arial" w:cs="Arial" w:eastAsia="Arial" w:hAnsi="Arial"/>
                <w:sz w:val="18"/>
                <w:szCs w:val="18"/>
                <w:color w:val="auto"/>
              </w:rPr>
              <w:t>President and Director</w:t>
            </w:r>
          </w:p>
        </w:tc>
      </w:tr>
      <w:tr>
        <w:trPr>
          <w:trHeight w:val="264"/>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Teresa L. Dick</w:t>
            </w:r>
          </w:p>
        </w:tc>
        <w:tc>
          <w:tcPr>
            <w:tcW w:w="14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52</w:t>
            </w:r>
          </w:p>
        </w:tc>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Chief Financial Officer, Executive Vice President and Assistant Secretary</w:t>
            </w:r>
          </w:p>
        </w:tc>
      </w:tr>
      <w:tr>
        <w:trPr>
          <w:trHeight w:val="263"/>
        </w:trPr>
        <w:tc>
          <w:tcPr>
            <w:tcW w:w="1940" w:type="dxa"/>
            <w:vAlign w:val="bottom"/>
          </w:tcPr>
          <w:p>
            <w:pPr>
              <w:spacing w:after="0"/>
              <w:rPr>
                <w:sz w:val="20"/>
                <w:szCs w:val="20"/>
                <w:color w:val="auto"/>
              </w:rPr>
            </w:pPr>
            <w:r>
              <w:rPr>
                <w:rFonts w:ascii="Arial" w:cs="Arial" w:eastAsia="Arial" w:hAnsi="Arial"/>
                <w:sz w:val="18"/>
                <w:szCs w:val="18"/>
                <w:color w:val="auto"/>
              </w:rPr>
              <w:t>Matt Zmigrosky</w:t>
            </w:r>
          </w:p>
        </w:tc>
        <w:tc>
          <w:tcPr>
            <w:tcW w:w="1400" w:type="dxa"/>
            <w:vAlign w:val="bottom"/>
          </w:tcPr>
          <w:p>
            <w:pPr>
              <w:jc w:val="center"/>
              <w:ind w:left="293"/>
              <w:spacing w:after="0"/>
              <w:rPr>
                <w:sz w:val="20"/>
                <w:szCs w:val="20"/>
                <w:color w:val="auto"/>
              </w:rPr>
            </w:pPr>
            <w:r>
              <w:rPr>
                <w:rFonts w:ascii="Arial" w:cs="Arial" w:eastAsia="Arial" w:hAnsi="Arial"/>
                <w:sz w:val="18"/>
                <w:szCs w:val="18"/>
                <w:color w:val="auto"/>
                <w:w w:val="89"/>
              </w:rPr>
              <w:t>43</w:t>
            </w:r>
          </w:p>
        </w:tc>
        <w:tc>
          <w:tcPr>
            <w:tcW w:w="5640" w:type="dxa"/>
            <w:vAlign w:val="bottom"/>
          </w:tcPr>
          <w:p>
            <w:pPr>
              <w:ind w:left="3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64"/>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Steven E. West</w:t>
            </w:r>
          </w:p>
        </w:tc>
        <w:tc>
          <w:tcPr>
            <w:tcW w:w="14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61</w:t>
            </w:r>
          </w:p>
        </w:tc>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r>
      <w:tr>
        <w:trPr>
          <w:trHeight w:val="263"/>
        </w:trPr>
        <w:tc>
          <w:tcPr>
            <w:tcW w:w="1940" w:type="dxa"/>
            <w:vAlign w:val="bottom"/>
          </w:tcPr>
          <w:p>
            <w:pPr>
              <w:spacing w:after="0"/>
              <w:rPr>
                <w:sz w:val="20"/>
                <w:szCs w:val="20"/>
                <w:color w:val="auto"/>
              </w:rPr>
            </w:pPr>
            <w:r>
              <w:rPr>
                <w:rFonts w:ascii="Arial" w:cs="Arial" w:eastAsia="Arial" w:hAnsi="Arial"/>
                <w:sz w:val="18"/>
                <w:szCs w:val="18"/>
                <w:color w:val="auto"/>
              </w:rPr>
              <w:t>Laurie H. Argo</w:t>
            </w:r>
          </w:p>
        </w:tc>
        <w:tc>
          <w:tcPr>
            <w:tcW w:w="1400" w:type="dxa"/>
            <w:vAlign w:val="bottom"/>
          </w:tcPr>
          <w:p>
            <w:pPr>
              <w:jc w:val="center"/>
              <w:ind w:left="293"/>
              <w:spacing w:after="0"/>
              <w:rPr>
                <w:sz w:val="20"/>
                <w:szCs w:val="20"/>
                <w:color w:val="auto"/>
              </w:rPr>
            </w:pPr>
            <w:r>
              <w:rPr>
                <w:rFonts w:ascii="Arial" w:cs="Arial" w:eastAsia="Arial" w:hAnsi="Arial"/>
                <w:sz w:val="18"/>
                <w:szCs w:val="18"/>
                <w:color w:val="auto"/>
                <w:w w:val="89"/>
              </w:rPr>
              <w:t>49</w:t>
            </w:r>
          </w:p>
        </w:tc>
        <w:tc>
          <w:tcPr>
            <w:tcW w:w="5640" w:type="dxa"/>
            <w:vAlign w:val="bottom"/>
          </w:tcPr>
          <w:p>
            <w:pPr>
              <w:ind w:left="380"/>
              <w:spacing w:after="0"/>
              <w:rPr>
                <w:sz w:val="20"/>
                <w:szCs w:val="20"/>
                <w:color w:val="auto"/>
              </w:rPr>
            </w:pPr>
            <w:r>
              <w:rPr>
                <w:rFonts w:ascii="Arial" w:cs="Arial" w:eastAsia="Arial" w:hAnsi="Arial"/>
                <w:sz w:val="18"/>
                <w:szCs w:val="18"/>
                <w:color w:val="auto"/>
              </w:rPr>
              <w:t>Director</w:t>
            </w:r>
          </w:p>
        </w:tc>
      </w:tr>
      <w:tr>
        <w:trPr>
          <w:trHeight w:val="264"/>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Arturo Vivar</w:t>
            </w:r>
          </w:p>
        </w:tc>
        <w:tc>
          <w:tcPr>
            <w:tcW w:w="140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89"/>
              </w:rPr>
              <w:t>59</w:t>
            </w:r>
          </w:p>
        </w:tc>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Director</w:t>
            </w:r>
          </w:p>
        </w:tc>
      </w:tr>
    </w:tbl>
    <w:p>
      <w:pPr>
        <w:spacing w:after="0" w:line="317"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b w:val="1"/>
          <w:bCs w:val="1"/>
          <w:i w:val="1"/>
          <w:iCs w:val="1"/>
          <w:color w:val="auto"/>
        </w:rPr>
        <w:t xml:space="preserve">Travis D. Stice. </w:t>
      </w:r>
      <w:r>
        <w:rPr>
          <w:rFonts w:ascii="Arial" w:cs="Arial" w:eastAsia="Arial" w:hAnsi="Arial"/>
          <w:sz w:val="16"/>
          <w:szCs w:val="16"/>
          <w:color w:val="auto"/>
        </w:rPr>
        <w:t>Mr. Stice has served as Chief Executive Officer and a director of our General Partner since July 2018. He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Diamondback since January 2012 and as a director since November 2012. Mr. Stice has also served as the Chief Executive Officer and a director of the general partner of Viper since February 2014. Prior to his current positions with our General Partner, Diamondback and Viper’s general partner, he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company, from April 2006 until August 2008. Prior to that, Mr. Stice held a series of positions of increasing responsibilities at Burlington Resources, most recently as a General Manager, Engineering, Operations and Business Reporting of its Mid-Continent Division from January 2001 until Burlington Resources’ acquisition by ConocoPhillips in March 2006. He started his career with Mobil Oil in 1985. Mr. Stice has over 35 years of industry experience in production operations, reservoir engineering, production engineering and unconventional oil and gas exploration and over 20 years of management experience. Mr. Stice graduated from Texas A&amp;M University with a Bachelor of Science degree in Petroleum Engineering. Mr. Stice is a registered engineer in the State of Texas, and is a 35-year member of the Society of Petroleum Engineers.</w:t>
      </w:r>
    </w:p>
    <w:p>
      <w:pPr>
        <w:spacing w:after="0" w:line="20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and Viper, make him a valuable asset to the board of directors of our General Partner.</w:t>
      </w:r>
    </w:p>
    <w:p>
      <w:pPr>
        <w:spacing w:after="0" w:line="20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b w:val="1"/>
          <w:bCs w:val="1"/>
          <w:i w:val="1"/>
          <w:iCs w:val="1"/>
          <w:color w:val="auto"/>
        </w:rPr>
        <w:t xml:space="preserve">Kaes Van’t Hof. </w:t>
      </w:r>
      <w:r>
        <w:rPr>
          <w:rFonts w:ascii="Arial" w:cs="Arial" w:eastAsia="Arial" w:hAnsi="Arial"/>
          <w:sz w:val="18"/>
          <w:szCs w:val="18"/>
          <w:color w:val="auto"/>
        </w:rPr>
        <w:t>Mr. Van’t Hof has served as President and a director of our General Partner since July 2018. He has served as Diamondback’s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of Business Development since March 2019 after joining Diamondback in July 2016 as Vice President and serving as its Senior Vice President-Strategy and Corporate Development from February 2017 to February 2019. Mr. Van’t Hof has also served as the President of the general partner of</w:t>
      </w:r>
    </w:p>
    <w:p>
      <w:pPr>
        <w:sectPr>
          <w:pgSz w:w="11900" w:h="16838" w:orient="portrait"/>
          <w:cols w:equalWidth="0" w:num="1">
            <w:col w:w="11240"/>
          </w:cols>
          <w:pgMar w:left="320" w:top="122"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Viper since March 2017. Prior to his positions with our General Partner, Diamondback and Viper’s general partner, Mr. Van’t Hof served as Chief Executive Officer for Bison Drilling and Field Services from September 2012 to June 2016. From August 2011 to August 2012, Mr. Van’t Hof was an analyst for Wexford Capital, LP responsible for developing operating models and business plans, including for Diamondback’s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degree in Accounting and Business Administration from the University of Southern California.</w:t>
      </w:r>
    </w:p>
    <w:p>
      <w:pPr>
        <w:spacing w:after="0" w:line="23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believe Mr. Van’t Hof’s background in finance, accounting and private equity energy investments, as well as his expertise and executive management experience, make him a valuable asset to the board of directors of our General Partner.</w:t>
      </w:r>
    </w:p>
    <w:p>
      <w:pPr>
        <w:spacing w:after="0" w:line="207"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b w:val="1"/>
          <w:bCs w:val="1"/>
          <w:i w:val="1"/>
          <w:iCs w:val="1"/>
          <w:color w:val="auto"/>
        </w:rPr>
        <w:t xml:space="preserve">Teresa L. Dick. </w:t>
      </w:r>
      <w:r>
        <w:rPr>
          <w:rFonts w:ascii="Arial" w:cs="Arial" w:eastAsia="Arial" w:hAnsi="Arial"/>
          <w:sz w:val="16"/>
          <w:szCs w:val="16"/>
          <w:color w:val="auto"/>
        </w:rPr>
        <w:t>Ms. Dick has served as Chief Financial Officer, Executive Vice President and Assistant Secretary of our General Partner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Ms. Dick has also served as Chief Financial Officer, Executive Vice President and Assistant Secretary of the General Partner of Viper since February 2017 and served as its Chief Financial Officer, Senior Vice President and Assistant Secretary from February 2014 to February 2017. From June 2006 to November 2007, Ms. Dick held a key management position as the Controller/Tax Director at Hiland Partners, a publicly-traded midstream energy MLP. Ms. Dick has over 20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9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b w:val="1"/>
          <w:bCs w:val="1"/>
          <w:i w:val="1"/>
          <w:iCs w:val="1"/>
          <w:color w:val="auto"/>
        </w:rPr>
        <w:t xml:space="preserve">Matt Zmigrosky. </w:t>
      </w:r>
      <w:r>
        <w:rPr>
          <w:rFonts w:ascii="Arial" w:cs="Arial" w:eastAsia="Arial" w:hAnsi="Arial"/>
          <w:sz w:val="16"/>
          <w:szCs w:val="16"/>
          <w:color w:val="auto"/>
        </w:rPr>
        <w:t>Mr. Zmigrosky has served as Executive Vice President, General Counsel and Secretary of our General Partner since February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2019, he has also served as Executive Vice President, General Counsel and Secretary of both Diamondback and the General Partner of Viper. Prior to joining Diamondback and Viper’s general partner, Mr. Zmigrosky was in the private practice of law for over 15 years. From October 2012 until January 2019, Mr. Zmigrosky was a partner at Akin Gump Strauss Hauer &amp; Feld LLP, an international law firm,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196"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b w:val="1"/>
          <w:bCs w:val="1"/>
          <w:i w:val="1"/>
          <w:iCs w:val="1"/>
          <w:color w:val="auto"/>
        </w:rPr>
        <w:t xml:space="preserve">Steven E. West. </w:t>
      </w:r>
      <w:r>
        <w:rPr>
          <w:rFonts w:ascii="Arial" w:cs="Arial" w:eastAsia="Arial" w:hAnsi="Arial"/>
          <w:sz w:val="16"/>
          <w:szCs w:val="16"/>
          <w:color w:val="auto"/>
        </w:rPr>
        <w:t>Mr. West has served as the Chairman of the Board of our General Partner since May 2019, and as a director and Chairman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Partner of Viper since February 2014. Mr. West has also served as a director of Diamondback since December 2011 and as its Chairman of the Board since October 2012. He served as Diamondback’s Chief Executive Officer from January 2009 to December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194"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General Partner’s board of directors: corporate governance; finance/capital markets; financial reporting/accounting experience; industry background; executive experience; executive compensation; and risk management.</w:t>
      </w:r>
    </w:p>
    <w:p>
      <w:pPr>
        <w:spacing w:after="0" w:line="222"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b w:val="1"/>
          <w:bCs w:val="1"/>
          <w:i w:val="1"/>
          <w:iCs w:val="1"/>
          <w:color w:val="auto"/>
        </w:rPr>
        <w:t xml:space="preserve">Laurie H. Argo. </w:t>
      </w:r>
      <w:r>
        <w:rPr>
          <w:rFonts w:ascii="Arial" w:cs="Arial" w:eastAsia="Arial" w:hAnsi="Arial"/>
          <w:sz w:val="16"/>
          <w:szCs w:val="16"/>
          <w:color w:val="auto"/>
        </w:rPr>
        <w:t>Ms. Argo is a director of our General Partner and member of the audit and conflicts committee. Ms. Argo served as a director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audit committee of EVRAZ plc, a multinational, vertically integrated steel making and mining company from August 2018 through June 2021, with additional compensation and stakeholder engagement committee memberships from 2020-2021. From January 2015 until September 2017, Ms. Argo served as Senior Vice President of Enterprise Products Holdings LLC, the general partner of Enterprise Products Partners L.P., a midstream natural gas and crude oil pipeline company. From January 2014 to January 2015, Ms. Argo was Vice President, NGL Fractionation, Storage and Unregulated Pipelines of Enterprise Products Partners L.P. From October 2014 to February 2015, Ms. Argo was President and Chief Executive Officer of OTLP GP, LLC, the general partner of Oiltanking Partners, L.P. and an affiliate of Enterprise Products Partners L.P. From 2005 to January 2014, Ms. Argo held various positions in the NGL and Natural Gas Processing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businesses for Enterprise Products Partners L.P., where her responsibilities included the commercial and financial management of four joint venture companies. From 2001 to 2004, Ms. Argo worked for San Diego Gas and Electric Company in San Diego, California, and PG&amp;E Gas Transmission, a subsidiary of PG&amp;E Corporation, in Houston, Texas, from 1997 to 2000. Ms. Argo earned a Master of Business Administration from National University in La Jolla, California and graduated from St. Edward’s University in Austin, Texas with a degree in Accounting. Ms. Argo has over 25 years of experience in the energy industry, continues to perform consulting services for clients in the energy industry and is a member of the National Association of Corporate Directors (NACD).</w:t>
      </w:r>
    </w:p>
    <w:p>
      <w:pPr>
        <w:spacing w:after="0" w:line="17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believe Ms. Argo’s extensive experience in the oil and gas industry, including the midstream sector, as well as her previous board and audit committee experience, qualify her for service on the board of directors of our general partner.</w:t>
      </w:r>
    </w:p>
    <w:p>
      <w:pPr>
        <w:spacing w:after="0" w:line="20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b w:val="1"/>
          <w:bCs w:val="1"/>
          <w:i w:val="1"/>
          <w:iCs w:val="1"/>
          <w:color w:val="auto"/>
        </w:rPr>
        <w:t xml:space="preserve">Arturo Vivar. </w:t>
      </w:r>
      <w:r>
        <w:rPr>
          <w:rFonts w:ascii="Arial" w:cs="Arial" w:eastAsia="Arial" w:hAnsi="Arial"/>
          <w:sz w:val="16"/>
          <w:szCs w:val="16"/>
          <w:color w:val="auto"/>
        </w:rPr>
        <w:t>Mr. Vivar is a director of our General Partner. Mr. Vivar has served as the Chief Executive Officer of Monterra Energy Holdings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midstream development company, since December 2014. Mr. Vivar was also a founder and served as the Chief Financial Officer of Rangeland Energy, LLC, a midstream development company, from November 2009 to March 2013. Prior to that, Mr. Vivar served as the Vice President of Business Development at WesPac Energy, LLC from July 2004 to February 2009, where he focused on developing energy infrastructure, hedging and risk management. Mr. Vivar has more than 30 years of experience in the energy industry. Mr. Vivar received his Bachelor of Science degree in Civil Engineering from Cal Polytechnic University and earned his Master of Business Administration degree from Stanford University.</w:t>
      </w:r>
    </w:p>
    <w:p>
      <w:pPr>
        <w:spacing w:after="0" w:line="196"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We believe Mr. Vivar’s strong background and diverse experience in the energy industry, especially the midstream sector, qualify him for service on the board of directors of our General Partner.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Diversity</w:t>
      </w:r>
    </w:p>
    <w:p>
      <w:pPr>
        <w:spacing w:after="0" w:line="24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The board of directors of our General Partner has five directors, three of whom are independent as defined under the independence standards established by Nasdaq and the Exchange Act. Steven E. West, Laurie H. Argo and Arturo Vivar serve as the independent members of the board of directors of our General Partner. Although a majority of the board of directors of our General Partner is independent, Nasdaq does not require a listed publicly traded partnership, such as ours, to have a majority of independent directors on the board of directors of our General Partner, disclose details regarding board diversity or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22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board of directors of our General Partner has established an independent audit committee and a conflicts committee, discussed in more detail below, and has diverse representatives on its board, including a female director.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4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Leadership of our General Partner’s board of directors is vested in the Chairman of the Board. Steven E. West serves as the Chairman of the Board of our General Partner and as a director of Diamondback. Mr. West was also the Chairman of the Board of Diamondback from October 2012 to February 2022, when he was succeeded in that role by Mr. Stice. Our General Partner’s board of directors has determined that Mr. West’s roles of Chairman of the Board of directors of our General Partner and a director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196"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us.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us with senior management.</w:t>
      </w:r>
    </w:p>
    <w:p>
      <w:pPr>
        <w:spacing w:after="0" w:line="194"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While the board of directors of our General Partner is ultimately responsible for our risk oversight,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During 2021, the board of directors of our General Partner met five times. Each director attended 100% of the meetings of the board and the committees of the board on which he or she served that occurred during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Rattler Midstream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 xml:space="preserve">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 The audit committee has adopted a charter, which is available on our website under the “corporate governance” section at </w:t>
      </w:r>
      <w:r>
        <w:rPr>
          <w:rFonts w:ascii="Arial" w:cs="Arial" w:eastAsia="Arial" w:hAnsi="Arial"/>
          <w:sz w:val="16"/>
          <w:szCs w:val="16"/>
          <w:i w:val="1"/>
          <w:iCs w:val="1"/>
          <w:color w:val="auto"/>
        </w:rPr>
        <w:t>https://www.rattlermidstream.com/investor-relations.</w:t>
      </w:r>
    </w:p>
    <w:p>
      <w:pPr>
        <w:spacing w:after="0" w:line="194"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Steven E. West, Laurie H. Argo and Arturo Vivar currently serve on the audit committee, of which Mr. West serves as the Chairman. The board of directors of our General Partner has determined each of Steven E. West, Laurie H. Argo, and Arturo Vivar meet the independence and experience standards established by the Nasdaq and the Exchange Act and that Mr. West is an “audit committee financial expert” as defined under SEC rules.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Laurie H. Argo and Arturo Vivar are the members of the conflicts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47"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 xml:space="preserve">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w:t>
      </w:r>
      <w:r>
        <w:rPr>
          <w:rFonts w:ascii="Arial" w:cs="Arial" w:eastAsia="Arial" w:hAnsi="Arial"/>
          <w:sz w:val="16"/>
          <w:szCs w:val="16"/>
          <w:i w:val="1"/>
          <w:iCs w:val="1"/>
          <w:color w:val="auto"/>
        </w:rPr>
        <w:t>https://www.rattlermidstream.com/investor-relations</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4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In addition, at the closing of our IPO, we and our General Partner entered into the services and secondment agreement with Diamondback.</w:t>
      </w:r>
    </w:p>
    <w:p>
      <w:pPr>
        <w:spacing w:after="0" w:line="19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our General Partner’s executive officers that are responsible for managing our day-to-day affairs are also current executive officers of Diamondback.</w:t>
      </w:r>
    </w:p>
    <w:p>
      <w:pPr>
        <w:spacing w:after="0" w:line="188"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All of the executive officers of our General Partner have responsibilities to us, Diamondback and Viper, and the executive officers of our General Partner allocate their time between managing our business and managing the businesses of Diamondback and Viper. Since all of these executive officers are employed by Diamondback or one of its subsidiaries, the responsibility and authority for compensation-related decisions for these executive officers resides with the compensation committee of the board of directors of Diamondback. Diamondback has the ultimate decision-making authority with respect to the total compensation of the executive officers that are employed by Diamondback including, subject to the terms of our partnership agreement and the operational service and secondment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(as defined below) that are made to our General Partner’s executive officers, key employees, and independent directors under our LTIP are made by the board of directors of our General Partner or a committee thereof that may be established for such purpose.</w:t>
      </w:r>
    </w:p>
    <w:p>
      <w:pPr>
        <w:spacing w:after="0" w:line="19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and Viper’s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and the operational service and secondment agreement, we reimburse Diamondback for compensation related expenses attributable to the portion of the executive’s time dedicated to providing services to us. Although we bear 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allocated portion of Diamondback’s costs of providing compensation and benefits to employees who serve as executive officers of our General Partner, we have no control over such costs and do not establish nor direct the compensation policies or practices of Diamondback. Except with respect to awards granted under the LTIP, compensation paid or awarded by us in 2021 consisted only of the portion of compensation paid by Diamondback that is allocated to us and our General Partner pursuant to Diamondback’s allocation methodology and subject to the terms of our partnership agreement.</w:t>
      </w:r>
    </w:p>
    <w:p>
      <w:pPr>
        <w:spacing w:after="0" w:line="20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2022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included in Diamondback’s 2022 proxy statement, with awards outstanding pursuant to our LTIP separately identified.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To incentivize our management and directors to continue to grow our business, the board of directors of our General Partner adopted a long-term incentive plan, or the LTIP, for employees, officers, consultants and directors of our General Partner and any of its affiliates, including Diamondback, who perform services for us.</w:t>
      </w:r>
    </w:p>
    <w:p>
      <w:pPr>
        <w:spacing w:after="0" w:line="21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or, collectively, awards. These awards are intended to align the interests of employees, officers, consultants and directors with those of our common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194"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During 2021 and 2020, our General Partner made grants under the LTIP of phantom units to the non-employee directors of our General Partner (see “– Director Compensation” below for information regarding those awards). In addition, on May 28, 2019, our General Partner granted 114,286 and 1,142,857 phantom units, respectively, to Messrs. Stice and Van’t Hof under the LTIP, with each such grant vesting in five equal installments beginning on May 28, 2020.</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or Termination of Long-Term Incentive Pla</w:t>
      </w:r>
      <w:r>
        <w:rPr>
          <w:rFonts w:ascii="Arial" w:cs="Arial" w:eastAsia="Arial" w:hAnsi="Arial"/>
          <w:sz w:val="18"/>
          <w:szCs w:val="18"/>
          <w:b w:val="1"/>
          <w:bCs w:val="1"/>
          <w:color w:val="auto"/>
        </w:rPr>
        <w:t>n</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plan administrator of the LTIP, at its discretion, may terminate the LTIP at any time with respect to the common units for which a grant has not previously been made. The plan administrator of the LTIP also has the right to alter or amend the LTIP or any part of it from time to time or to amend any outstanding award made under the LTIP, provided that no change in any outstanding award may be made that would materially reduce the vested rights or benefits of the participant without the consent of the affected participant or result in additional taxation to the participant under Section 409A of the Internal Revenue Code of 1986, as amended, or the Code.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Upon a “change of control” (as defined in the LTIP), the plan administrator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plan administrator deems appropriate to reflect the change in control. The LTIP provides the plan administrator discretion to determine whether or not vesting of awards will accelerate in connection with a change in control and what conditions will apply to acceleration, such as whether acceleration will be single trigger or double trigger. The intent is to give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administrator flexibility to determine the appropriate form of incentive that will motivate and retain employees and be in the best interest of equity holders.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4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Neither we nor the board of directors of our General Partner has a compensation committee. Additionally, as an emerging growth company, we are not required to include a Compensation Discussion and Analysis section in this Annual Report. However,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The Board of Directors of Rattler 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13970</wp:posOffset>
            </wp:positionV>
            <wp:extent cx="3304540" cy="150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04540" cy="15049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Travis D. Stice</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10160</wp:posOffset>
            </wp:positionV>
            <wp:extent cx="3304540"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04540" cy="14224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Steven E. West</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Laurie H. 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10160</wp:posOffset>
            </wp:positionV>
            <wp:extent cx="3304540" cy="142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04540" cy="14224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color w:val="auto"/>
        </w:rPr>
        <w:t>Arturo Vivar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47"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80"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Each non-employee director receives a compensation package that consists of an annual cash retainer of $60,000 plus an additional annual payment of $15,000 for the chairperson and $10,000 for each other member of the audit committee and $10,000 for the chairperson and $5,000 for each other member of each other committee. Each non-employee director is eligible to participate in the LTIP as described above and may receive grants of equity-based awards from time to time for so long as he or she serves as a director. The number of phantom units awarded is calculated by dividing $100,000 by the average closing price of our common units for the five trading days immediately preceding the date of grant. The awards vest on the first anniversary of the grate date. Our directors are also reimbursed for out-of-pocket expenses in connection with attending meetings of the board of directors or its committees. The maximum value of the annual cash and equity compensation that any non-employee director may receive will not exceed $350,000.</w:t>
      </w:r>
    </w:p>
    <w:p>
      <w:pPr>
        <w:spacing w:after="0" w:line="19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207" w:lineRule="exact"/>
        <w:rPr>
          <w:sz w:val="20"/>
          <w:szCs w:val="20"/>
          <w:color w:val="auto"/>
        </w:rPr>
      </w:pPr>
    </w:p>
    <w:p>
      <w:pPr>
        <w:ind w:right="220" w:firstLine="632"/>
        <w:spacing w:after="0" w:line="262" w:lineRule="auto"/>
        <w:rPr>
          <w:sz w:val="20"/>
          <w:szCs w:val="20"/>
          <w:color w:val="auto"/>
        </w:rPr>
      </w:pPr>
      <w:r>
        <w:rPr>
          <w:rFonts w:ascii="Arial" w:cs="Arial" w:eastAsia="Arial" w:hAnsi="Arial"/>
          <w:sz w:val="18"/>
          <w:szCs w:val="18"/>
          <w:color w:val="auto"/>
        </w:rPr>
        <w:t>The following table sets forth the aggregate dollar amount of all fees paid to each of the non-employee directors of our General Partner during 2021 for their services on the board: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36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Fees Earned or Paid</w:t>
            </w:r>
          </w:p>
        </w:tc>
        <w:tc>
          <w:tcPr>
            <w:tcW w:w="12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Unit Awards(b)</w:t>
            </w:r>
          </w:p>
        </w:tc>
        <w:tc>
          <w:tcPr>
            <w:tcW w:w="320" w:type="dxa"/>
            <w:vAlign w:val="bottom"/>
          </w:tcPr>
          <w:p>
            <w:pPr>
              <w:spacing w:after="0"/>
              <w:rPr>
                <w:sz w:val="14"/>
                <w:szCs w:val="14"/>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in cash(a)</w:t>
            </w:r>
          </w:p>
        </w:tc>
        <w:tc>
          <w:tcPr>
            <w:tcW w:w="12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Steven E. West</w:t>
            </w:r>
            <w:r>
              <w:rPr>
                <w:rFonts w:ascii="Arial" w:cs="Arial" w:eastAsia="Arial" w:hAnsi="Arial"/>
                <w:sz w:val="22"/>
                <w:szCs w:val="22"/>
                <w:color w:val="auto"/>
                <w:vertAlign w:val="superscript"/>
              </w:rPr>
              <w:t>(c)(d)</w:t>
            </w:r>
          </w:p>
        </w:tc>
        <w:tc>
          <w:tcPr>
            <w:tcW w:w="3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174,965</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line="224" w:lineRule="exact"/>
              <w:rPr>
                <w:sz w:val="20"/>
                <w:szCs w:val="20"/>
                <w:color w:val="auto"/>
              </w:rPr>
            </w:pPr>
            <w:r>
              <w:rPr>
                <w:rFonts w:ascii="Arial" w:cs="Arial" w:eastAsia="Arial" w:hAnsi="Arial"/>
                <w:sz w:val="18"/>
                <w:szCs w:val="18"/>
                <w:color w:val="auto"/>
              </w:rPr>
              <w:t>Laurie H. Argo</w:t>
            </w:r>
            <w:r>
              <w:rPr>
                <w:rFonts w:ascii="Arial" w:cs="Arial" w:eastAsia="Arial" w:hAnsi="Arial"/>
                <w:sz w:val="22"/>
                <w:szCs w:val="22"/>
                <w:color w:val="auto"/>
                <w:vertAlign w:val="superscript"/>
              </w:rPr>
              <w:t>(c)(d)</w:t>
            </w:r>
          </w:p>
        </w:tc>
        <w:tc>
          <w:tcPr>
            <w:tcW w:w="31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75,000</w:t>
            </w:r>
          </w:p>
        </w:tc>
        <w:tc>
          <w:tcPr>
            <w:tcW w:w="1240" w:type="dxa"/>
            <w:vAlign w:val="bottom"/>
          </w:tcPr>
          <w:p>
            <w:pPr>
              <w:jc w:val="right"/>
              <w:spacing w:after="0"/>
              <w:rPr>
                <w:sz w:val="20"/>
                <w:szCs w:val="20"/>
                <w:color w:val="auto"/>
              </w:rPr>
            </w:pPr>
            <w:r>
              <w:rPr>
                <w:rFonts w:ascii="Arial" w:cs="Arial" w:eastAsia="Arial" w:hAnsi="Arial"/>
                <w:sz w:val="18"/>
                <w:szCs w:val="18"/>
                <w:color w:val="auto"/>
              </w:rPr>
              <w:t>99,965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174,965</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Arturo Vivar</w:t>
            </w:r>
            <w:r>
              <w:rPr>
                <w:rFonts w:ascii="Arial" w:cs="Arial" w:eastAsia="Arial" w:hAnsi="Arial"/>
                <w:sz w:val="22"/>
                <w:szCs w:val="22"/>
                <w:color w:val="auto"/>
                <w:vertAlign w:val="superscript"/>
              </w:rPr>
              <w:t>(c)(d)</w:t>
            </w:r>
          </w:p>
        </w:tc>
        <w:tc>
          <w:tcPr>
            <w:tcW w:w="3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174,965</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This column reflects the value of a director’s annual retainer.</w:t>
      </w:r>
    </w:p>
    <w:p>
      <w:pPr>
        <w:spacing w:after="0" w:line="2" w:lineRule="exact"/>
        <w:rPr>
          <w:rFonts w:ascii="Arial" w:cs="Arial" w:eastAsia="Arial" w:hAnsi="Arial"/>
          <w:sz w:val="23"/>
          <w:szCs w:val="23"/>
          <w:color w:val="auto"/>
          <w:vertAlign w:val="superscript"/>
        </w:rPr>
      </w:pPr>
    </w:p>
    <w:p>
      <w:pPr>
        <w:jc w:val="both"/>
        <w:ind w:left="320" w:hanging="315"/>
        <w:spacing w:after="0" w:line="222" w:lineRule="auto"/>
        <w:tabs>
          <w:tab w:leader="none" w:pos="30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 Distribution equivalent rights are not reflected in the aggregate grant date fair value of phantom unit awards.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15"/>
        <w:spacing w:after="0" w:line="244" w:lineRule="auto"/>
        <w:tabs>
          <w:tab w:leader="none" w:pos="315"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Each of Ms. Argo and Messrs. West and Vivar received a grant of 11,011 phantom units on July 10, 2020, which vested and settled on July 10, 2021, pursuant to the LTIP, with each unit having a grant date fair value of $8.23. Each phantom unit is the economic equivalent of one of our common units.</w:t>
      </w:r>
    </w:p>
    <w:p>
      <w:pPr>
        <w:ind w:left="320" w:hanging="315"/>
        <w:spacing w:after="0" w:line="237" w:lineRule="auto"/>
        <w:tabs>
          <w:tab w:leader="none" w:pos="30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Each of Ms. Argo and Messrs. West and Vivar received a grant of 9,256 phantom units on July 12, 2021, which will vest and settle on July 12, 2022, pursuant to the LTIP, with each unit having a grant date fair value of $10.80. Each phantom unit is the economic equivalent of one of our common units.</w:t>
      </w:r>
    </w:p>
    <w:p>
      <w:pPr>
        <w:spacing w:after="0" w:line="22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Messrs. Stice and Van’t Hof are directors of our General Partner, and are also executive officers of our General Partner and employees of Diamondback E&amp;P LLC. Messrs. Stice and Van’t Hof have received awards pursuant to the LTIP for their service as executive officers or employees, respectively, and unrelated to their service as directors of our General Partner. These awards are reflected in the tables contained in Diamondback’s 2022 proxy statement under the heading “Compensation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7" w:lineRule="exact"/>
        <w:rPr>
          <w:sz w:val="20"/>
          <w:szCs w:val="20"/>
          <w:color w:val="auto"/>
        </w:rPr>
      </w:pPr>
    </w:p>
    <w:p>
      <w:pPr>
        <w:jc w:val="both"/>
        <w:ind w:firstLine="632"/>
        <w:spacing w:after="0" w:line="283" w:lineRule="auto"/>
        <w:rPr>
          <w:rFonts w:ascii="Arial" w:cs="Arial" w:eastAsia="Arial" w:hAnsi="Arial"/>
          <w:sz w:val="16"/>
          <w:szCs w:val="16"/>
          <w:color w:val="0000FF"/>
        </w:rPr>
      </w:pPr>
      <w:r>
        <w:rPr>
          <w:rFonts w:ascii="Arial" w:cs="Arial" w:eastAsia="Arial" w:hAnsi="Arial"/>
          <w:sz w:val="16"/>
          <w:szCs w:val="16"/>
          <w:color w:val="auto"/>
        </w:rPr>
        <w:t xml:space="preserve">As previously noted, our General Partner’s board of directors is not required to maintain, and does not maintain, a separate compensation committee. Messrs. Van’t Hof and Stice, each a director and executive officer of our General Partner, are also directors and executive officers of Diamondback. However, all compensation decisions with respect to Messrs. Van’t Hof and Stice are made by Diamondback and Messrs. Van’t Hof and Stice do not receive any compensation directly from us or our General Partner except for awards under our LTIP. As described in “– Compensation Discussion and Analysis,” decisions </w:t>
      </w:r>
      <w:hyperlink w:anchor="page7">
        <w:r>
          <w:rPr>
            <w:rFonts w:ascii="Arial" w:cs="Arial" w:eastAsia="Arial" w:hAnsi="Arial"/>
            <w:sz w:val="16"/>
            <w:szCs w:val="16"/>
            <w:color w:val="auto"/>
          </w:rPr>
          <w:t>regarding the compensation of our General Partner’s executive officers are made by Diamondback. See “</w:t>
        </w:r>
        <w:r>
          <w:rPr>
            <w:rFonts w:ascii="Arial" w:cs="Arial" w:eastAsia="Arial" w:hAnsi="Arial"/>
            <w:sz w:val="16"/>
            <w:szCs w:val="16"/>
            <w:u w:val="single" w:color="auto"/>
            <w:color w:val="0000FF"/>
          </w:rPr>
          <w:t>Items 1 and 2. Business and Properties–Our</w:t>
        </w:r>
      </w:hyperlink>
      <w:r>
        <w:rPr>
          <w:rFonts w:ascii="Arial" w:cs="Arial" w:eastAsia="Arial" w:hAnsi="Arial"/>
          <w:sz w:val="16"/>
          <w:szCs w:val="16"/>
          <w:color w:val="auto"/>
        </w:rPr>
        <w:t xml:space="preserve"> </w:t>
      </w:r>
      <w:hyperlink w:anchor="page7">
        <w:r>
          <w:rPr>
            <w:rFonts w:ascii="Arial" w:cs="Arial" w:eastAsia="Arial" w:hAnsi="Arial"/>
            <w:sz w:val="16"/>
            <w:szCs w:val="16"/>
            <w:u w:val="single" w:color="auto"/>
            <w:color w:val="0000FF"/>
          </w:rPr>
          <w:t>Relationship with Diamondback</w:t>
        </w:r>
        <w:r>
          <w:rPr>
            <w:rFonts w:ascii="Arial" w:cs="Arial" w:eastAsia="Arial" w:hAnsi="Arial"/>
            <w:sz w:val="16"/>
            <w:szCs w:val="16"/>
            <w:color w:val="000000"/>
          </w:rPr>
          <w:t>” and “</w:t>
        </w:r>
      </w:hyperlink>
      <w:hyperlink w:anchor="page61">
        <w:r>
          <w:rPr>
            <w:rFonts w:ascii="Arial" w:cs="Arial" w:eastAsia="Arial" w:hAnsi="Arial"/>
            <w:sz w:val="16"/>
            <w:szCs w:val="16"/>
            <w:u w:val="single" w:color="auto"/>
            <w:color w:val="0000FF"/>
          </w:rPr>
          <w:t>Item 13. Certain Relationships and Related Transactions, and Director Independence</w:t>
        </w:r>
      </w:hyperlink>
      <w:hyperlink w:anchor="page7">
        <w:r>
          <w:rPr>
            <w:rFonts w:ascii="Arial" w:cs="Arial" w:eastAsia="Arial" w:hAnsi="Arial"/>
            <w:sz w:val="16"/>
            <w:szCs w:val="16"/>
            <w:color w:val="000000"/>
          </w:rPr>
          <w:t>” included elsewhere in this Annual</w:t>
        </w:r>
      </w:hyperlink>
      <w:r>
        <w:rPr>
          <w:rFonts w:ascii="Arial" w:cs="Arial" w:eastAsia="Arial" w:hAnsi="Arial"/>
          <w:sz w:val="16"/>
          <w:szCs w:val="16"/>
          <w:color w:val="0000FF"/>
        </w:rPr>
        <w:t xml:space="preserve"> </w:t>
      </w:r>
      <w:r>
        <w:rPr>
          <w:rFonts w:ascii="Arial" w:cs="Arial" w:eastAsia="Arial" w:hAnsi="Arial"/>
          <w:sz w:val="16"/>
          <w:szCs w:val="16"/>
          <w:color w:val="000000"/>
        </w:rPr>
        <w:t>Report for more information about relationships among us, our General Partner and Diamondback.</w:t>
      </w:r>
    </w:p>
    <w:p>
      <w:pPr>
        <w:spacing w:after="0" w:line="188"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47" w:lineRule="exact"/>
        <w:rPr>
          <w:rFonts w:ascii="Arial" w:cs="Arial" w:eastAsia="Arial" w:hAnsi="Arial"/>
          <w:sz w:val="16"/>
          <w:szCs w:val="16"/>
          <w:color w:val="0000FF"/>
        </w:rPr>
      </w:pPr>
    </w:p>
    <w:p>
      <w:pPr>
        <w:jc w:val="both"/>
        <w:ind w:firstLine="632"/>
        <w:spacing w:after="0" w:line="284" w:lineRule="auto"/>
        <w:rPr>
          <w:rFonts w:ascii="Arial" w:cs="Arial" w:eastAsia="Arial" w:hAnsi="Arial"/>
          <w:sz w:val="16"/>
          <w:szCs w:val="16"/>
          <w:color w:val="0000FF"/>
        </w:rPr>
      </w:pPr>
      <w:r>
        <w:rPr>
          <w:rFonts w:ascii="Arial" w:cs="Arial" w:eastAsia="Arial" w:hAnsi="Arial"/>
          <w:sz w:val="16"/>
          <w:szCs w:val="16"/>
          <w:color w:val="auto"/>
        </w:rPr>
        <w:t xml:space="preserve">We do not have any employees. We are managed and operated by the directors and officers of our General Partner and employees of Diamondback </w:t>
      </w:r>
      <w:hyperlink w:anchor="page7">
        <w:r>
          <w:rPr>
            <w:rFonts w:ascii="Arial" w:cs="Arial" w:eastAsia="Arial" w:hAnsi="Arial"/>
            <w:sz w:val="16"/>
            <w:szCs w:val="16"/>
            <w:color w:val="auto"/>
          </w:rPr>
          <w:t>perform services on our behalf. See “</w:t>
        </w:r>
        <w:r>
          <w:rPr>
            <w:rFonts w:ascii="Arial" w:cs="Arial" w:eastAsia="Arial" w:hAnsi="Arial"/>
            <w:sz w:val="16"/>
            <w:szCs w:val="16"/>
            <w:u w:val="single" w:color="auto"/>
            <w:color w:val="0000FF"/>
          </w:rPr>
          <w:t>–Compensation Discussion and Analysis</w:t>
        </w:r>
        <w:r>
          <w:rPr>
            <w:rFonts w:ascii="Arial" w:cs="Arial" w:eastAsia="Arial" w:hAnsi="Arial"/>
            <w:sz w:val="16"/>
            <w:szCs w:val="16"/>
            <w:color w:val="auto"/>
          </w:rPr>
          <w:t>” above and “</w:t>
        </w:r>
        <w:r>
          <w:rPr>
            <w:rFonts w:ascii="Arial" w:cs="Arial" w:eastAsia="Arial" w:hAnsi="Arial"/>
            <w:sz w:val="16"/>
            <w:szCs w:val="16"/>
            <w:u w:val="single" w:color="auto"/>
            <w:color w:val="0000FF"/>
          </w:rPr>
          <w:t>Items 1 and 2. Business and Properties–Our Relationship with</w:t>
        </w:r>
      </w:hyperlink>
      <w:r>
        <w:rPr>
          <w:rFonts w:ascii="Arial" w:cs="Arial" w:eastAsia="Arial" w:hAnsi="Arial"/>
          <w:sz w:val="16"/>
          <w:szCs w:val="16"/>
          <w:color w:val="auto"/>
        </w:rPr>
        <w:t xml:space="preserve"> </w:t>
      </w:r>
      <w:hyperlink w:anchor="page7">
        <w:r>
          <w:rPr>
            <w:rFonts w:ascii="Arial" w:cs="Arial" w:eastAsia="Arial" w:hAnsi="Arial"/>
            <w:sz w:val="16"/>
            <w:szCs w:val="16"/>
            <w:u w:val="single" w:color="auto"/>
            <w:color w:val="0000FF"/>
          </w:rPr>
          <w:t>Diamondback</w:t>
        </w:r>
        <w:r>
          <w:rPr>
            <w:rFonts w:ascii="Arial" w:cs="Arial" w:eastAsia="Arial" w:hAnsi="Arial"/>
            <w:sz w:val="16"/>
            <w:szCs w:val="16"/>
            <w:color w:val="000000"/>
          </w:rPr>
          <w:t>” included elsewhere in this Annual Report for more information about this arrangement. For an analysis of any risks arising from</w:t>
        </w:r>
      </w:hyperlink>
      <w:r>
        <w:rPr>
          <w:rFonts w:ascii="Arial" w:cs="Arial" w:eastAsia="Arial" w:hAnsi="Arial"/>
          <w:sz w:val="16"/>
          <w:szCs w:val="16"/>
          <w:color w:val="0000FF"/>
        </w:rPr>
        <w:t xml:space="preserve"> </w:t>
      </w:r>
      <w:r>
        <w:rPr>
          <w:rFonts w:ascii="Arial" w:cs="Arial" w:eastAsia="Arial" w:hAnsi="Arial"/>
          <w:sz w:val="16"/>
          <w:szCs w:val="16"/>
          <w:color w:val="000000"/>
        </w:rPr>
        <w:t>Diamondback’s compensation policies and practices, see Diamondback’s 2022 proxy statement. We have made awards of unit options subject to time-based vesting under our LTIP, which we believe drive a long-term perspective and which we believe make it less likely that our General Partner’s executive officers will take unreasonable risks because the unit options retain value even in a depressed market.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Officers and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January 31, 2022 by:</w:t>
      </w:r>
    </w:p>
    <w:p>
      <w:pPr>
        <w:spacing w:after="0" w:line="241" w:lineRule="exact"/>
        <w:rPr>
          <w:sz w:val="20"/>
          <w:szCs w:val="20"/>
          <w:color w:val="auto"/>
        </w:rPr>
      </w:pPr>
    </w:p>
    <w:p>
      <w:pPr>
        <w:ind w:left="940" w:hanging="30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56" w:lineRule="exact"/>
        <w:rPr>
          <w:rFonts w:ascii="Arial" w:cs="Arial" w:eastAsia="Arial" w:hAnsi="Arial"/>
          <w:sz w:val="18"/>
          <w:szCs w:val="18"/>
          <w:color w:val="auto"/>
        </w:rPr>
      </w:pPr>
    </w:p>
    <w:p>
      <w:pPr>
        <w:ind w:left="940" w:hanging="30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 and</w:t>
      </w:r>
    </w:p>
    <w:p>
      <w:pPr>
        <w:spacing w:after="0" w:line="56" w:lineRule="exact"/>
        <w:rPr>
          <w:rFonts w:ascii="Arial" w:cs="Arial" w:eastAsia="Arial" w:hAnsi="Arial"/>
          <w:sz w:val="18"/>
          <w:szCs w:val="18"/>
          <w:color w:val="auto"/>
        </w:rPr>
      </w:pPr>
    </w:p>
    <w:p>
      <w:pPr>
        <w:ind w:left="940" w:hanging="30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00" w:type="dxa"/>
            <w:vAlign w:val="bottom"/>
            <w:vMerge w:val="restart"/>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Common Units Beneficially</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 Common Units</w:t>
            </w:r>
          </w:p>
        </w:tc>
        <w:tc>
          <w:tcPr>
            <w:tcW w:w="0" w:type="dxa"/>
            <w:vAlign w:val="bottom"/>
          </w:tcPr>
          <w:p>
            <w:pPr>
              <w:spacing w:after="0"/>
              <w:rPr>
                <w:sz w:val="1"/>
                <w:szCs w:val="1"/>
                <w:color w:val="auto"/>
              </w:rPr>
            </w:pPr>
          </w:p>
        </w:tc>
      </w:tr>
      <w:tr>
        <w:trPr>
          <w:trHeight w:val="211"/>
        </w:trPr>
        <w:tc>
          <w:tcPr>
            <w:tcW w:w="6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86"/>
              </w:rPr>
              <w:t>Owned</w:t>
            </w:r>
            <w:r>
              <w:rPr>
                <w:rFonts w:ascii="Arial" w:cs="Arial" w:eastAsia="Arial" w:hAnsi="Arial"/>
                <w:sz w:val="20"/>
                <w:szCs w:val="20"/>
                <w:b w:val="1"/>
                <w:bCs w:val="1"/>
                <w:color w:val="auto"/>
                <w:w w:val="86"/>
                <w:vertAlign w:val="superscript"/>
              </w:rPr>
              <w:t>(1)</w:t>
            </w:r>
          </w:p>
        </w:tc>
        <w:tc>
          <w:tcPr>
            <w:tcW w:w="10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Beneficially Owned</w:t>
            </w:r>
          </w:p>
        </w:tc>
        <w:tc>
          <w:tcPr>
            <w:tcW w:w="0" w:type="dxa"/>
            <w:vAlign w:val="bottom"/>
          </w:tcPr>
          <w:p>
            <w:pPr>
              <w:spacing w:after="0"/>
              <w:rPr>
                <w:sz w:val="1"/>
                <w:szCs w:val="1"/>
                <w:color w:val="auto"/>
              </w:rPr>
            </w:pPr>
          </w:p>
        </w:tc>
      </w:tr>
      <w:tr>
        <w:trPr>
          <w:trHeight w:val="21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Midstream GP LLC</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5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Travis D. Stice</w:t>
            </w:r>
            <w:r>
              <w:rPr>
                <w:rFonts w:ascii="Arial" w:cs="Arial" w:eastAsia="Arial" w:hAnsi="Arial"/>
                <w:sz w:val="22"/>
                <w:szCs w:val="22"/>
                <w:color w:val="auto"/>
                <w:vertAlign w:val="superscript"/>
              </w:rPr>
              <w:t>(2)</w:t>
            </w: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118,419</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Kaes Van’t Hof</w:t>
            </w:r>
            <w:r>
              <w:rPr>
                <w:rFonts w:ascii="Arial" w:cs="Arial" w:eastAsia="Arial" w:hAnsi="Arial"/>
                <w:sz w:val="22"/>
                <w:szCs w:val="22"/>
                <w:color w:val="auto"/>
                <w:vertAlign w:val="superscript"/>
              </w:rPr>
              <w:t>(3)</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268,256</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Teresa L. Dick</w:t>
            </w:r>
            <w:r>
              <w:rPr>
                <w:rFonts w:ascii="Arial" w:cs="Arial" w:eastAsia="Arial" w:hAnsi="Arial"/>
                <w:sz w:val="22"/>
                <w:szCs w:val="22"/>
                <w:color w:val="auto"/>
                <w:vertAlign w:val="superscript"/>
              </w:rPr>
              <w:t>(4)</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20,749</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Matt Zmigrosky</w:t>
            </w:r>
            <w:r>
              <w:rPr>
                <w:rFonts w:ascii="Arial" w:cs="Arial" w:eastAsia="Arial" w:hAnsi="Arial"/>
                <w:sz w:val="22"/>
                <w:szCs w:val="22"/>
                <w:color w:val="auto"/>
                <w:vertAlign w:val="superscript"/>
              </w:rPr>
              <w:t>(5)</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8,568</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Laurie H. Argo</w:t>
            </w:r>
            <w:r>
              <w:rPr>
                <w:rFonts w:ascii="Arial" w:cs="Arial" w:eastAsia="Arial" w:hAnsi="Arial"/>
                <w:sz w:val="22"/>
                <w:szCs w:val="22"/>
                <w:color w:val="auto"/>
                <w:vertAlign w:val="superscript"/>
              </w:rPr>
              <w:t>(6)</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17,225</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Arturo Vivar</w:t>
            </w:r>
            <w:r>
              <w:rPr>
                <w:rFonts w:ascii="Arial" w:cs="Arial" w:eastAsia="Arial" w:hAnsi="Arial"/>
                <w:sz w:val="22"/>
                <w:szCs w:val="22"/>
                <w:color w:val="auto"/>
                <w:vertAlign w:val="superscript"/>
              </w:rPr>
              <w:t>(6)</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30,975</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Steven E. West</w:t>
            </w:r>
            <w:r>
              <w:rPr>
                <w:rFonts w:ascii="Arial" w:cs="Arial" w:eastAsia="Arial" w:hAnsi="Arial"/>
                <w:sz w:val="22"/>
                <w:szCs w:val="22"/>
                <w:color w:val="auto"/>
                <w:vertAlign w:val="superscript"/>
              </w:rPr>
              <w:t>(6)</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27,100</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of our General Partner as a group (7 persons)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491,292</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15" w:lineRule="exact"/>
        <w:rPr>
          <w:sz w:val="20"/>
          <w:szCs w:val="20"/>
          <w:color w:val="auto"/>
        </w:rPr>
      </w:pPr>
    </w:p>
    <w:p>
      <w:pPr>
        <w:jc w:val="both"/>
        <w:ind w:left="480" w:hanging="475"/>
        <w:spacing w:after="0" w:line="274" w:lineRule="auto"/>
        <w:tabs>
          <w:tab w:leader="none" w:pos="474"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SEC rules and generally includes voting or investment power with respect to securities. In computing percentage ownership of each person, (i) common units subject to options held by that person that are exercisable as of January 31, 2022 and (ii) common units subject to options or phantom units held by that person that are exercisable or vesting within 60 days of January 31, 2022 are all deemed to be beneficially owned. These common units, however, are not deemed outstanding for the purpose of computing the percentage ownership of each other person. The percentage of common units beneficially owned is based on 38,139,805 common units outstanding as of January 31, 2022. Unless otherwise indicated, all amounts exclude common units issuable upon the exercise of outstanding options and vesting of phantom units that are not exercisable and/or vested as of January 31, 2022 or within 60 days of January 31, 2022. Unless otherwise noted, the address for each beneficial owner listed below is 500 West Texas Avenue, Suite 1200, Midland, Texas 79701. Except as noted, each unitholder in the above table is believed to have sole voting and sole investment power with respect to the units beneficially held.</w:t>
      </w:r>
    </w:p>
    <w:p>
      <w:pPr>
        <w:spacing w:after="0" w:line="6" w:lineRule="exact"/>
        <w:rPr>
          <w:rFonts w:ascii="Arial" w:cs="Arial" w:eastAsia="Arial" w:hAnsi="Arial"/>
          <w:sz w:val="16"/>
          <w:szCs w:val="16"/>
          <w:color w:val="auto"/>
        </w:rPr>
      </w:pPr>
    </w:p>
    <w:p>
      <w:pPr>
        <w:jc w:val="both"/>
        <w:ind w:left="480" w:hanging="475"/>
        <w:spacing w:after="0" w:line="244" w:lineRule="auto"/>
        <w:tabs>
          <w:tab w:leader="none" w:pos="4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 Excludes 68,572 phantom units, that are scheduled to vest in three remaining equal installments beginning on May 28, 2022.</w:t>
      </w:r>
    </w:p>
    <w:p>
      <w:pPr>
        <w:spacing w:after="0" w:line="1" w:lineRule="exact"/>
        <w:rPr>
          <w:rFonts w:ascii="Arial" w:cs="Arial" w:eastAsia="Arial" w:hAnsi="Arial"/>
          <w:sz w:val="18"/>
          <w:szCs w:val="18"/>
          <w:color w:val="auto"/>
        </w:rPr>
      </w:pPr>
    </w:p>
    <w:p>
      <w:pPr>
        <w:ind w:left="480" w:hanging="47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685,715 phantom units, that are scheduled to vest in three equal installments beginning on May 28, 2022.</w:t>
      </w:r>
    </w:p>
    <w:p>
      <w:pPr>
        <w:spacing w:after="0" w:line="3" w:lineRule="exact"/>
        <w:rPr>
          <w:rFonts w:ascii="Arial" w:cs="Arial" w:eastAsia="Arial" w:hAnsi="Arial"/>
          <w:sz w:val="18"/>
          <w:szCs w:val="18"/>
          <w:color w:val="auto"/>
        </w:rPr>
      </w:pPr>
    </w:p>
    <w:p>
      <w:pPr>
        <w:ind w:left="480" w:hanging="47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34,286 phantom units, that are scheduled to vest in three equal installments beginning on May 28, 2022.</w:t>
      </w:r>
    </w:p>
    <w:p>
      <w:pPr>
        <w:spacing w:after="0" w:line="3" w:lineRule="exact"/>
        <w:rPr>
          <w:rFonts w:ascii="Arial" w:cs="Arial" w:eastAsia="Arial" w:hAnsi="Arial"/>
          <w:sz w:val="18"/>
          <w:szCs w:val="18"/>
          <w:color w:val="auto"/>
        </w:rPr>
      </w:pPr>
    </w:p>
    <w:p>
      <w:pPr>
        <w:ind w:left="480" w:hanging="47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13,715 phantom units, that are scheduled to vest in three equal installments beginning on May 28, 2022.</w:t>
      </w:r>
    </w:p>
    <w:p>
      <w:pPr>
        <w:spacing w:after="0" w:line="3" w:lineRule="exact"/>
        <w:rPr>
          <w:rFonts w:ascii="Arial" w:cs="Arial" w:eastAsia="Arial" w:hAnsi="Arial"/>
          <w:sz w:val="18"/>
          <w:szCs w:val="18"/>
          <w:color w:val="auto"/>
        </w:rPr>
      </w:pPr>
    </w:p>
    <w:p>
      <w:pPr>
        <w:ind w:left="480" w:hanging="475"/>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9,256 phantom units, that are scheduled to vest on July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firstLine="632"/>
        <w:spacing w:after="0" w:line="325" w:lineRule="auto"/>
        <w:rPr>
          <w:sz w:val="20"/>
          <w:szCs w:val="20"/>
          <w:color w:val="auto"/>
        </w:rPr>
      </w:pPr>
      <w:r>
        <w:rPr>
          <w:rFonts w:ascii="Arial" w:cs="Arial" w:eastAsia="Arial" w:hAnsi="Arial"/>
          <w:sz w:val="16"/>
          <w:szCs w:val="16"/>
          <w:color w:val="auto"/>
        </w:rPr>
        <w:t>The following table sets forth, as of January 31, 2022, the number of shares of common stock of Diamondback beneficially owned by each of the directors and executive officers of our General Partner and all directors and executive officers of our General Partner as a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w w:val="92"/>
              </w:rPr>
              <w:t>Shares of Diamondback Common Stock Beneficially Owned</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51"/>
        </w:trPr>
        <w:tc>
          <w:tcPr>
            <w:tcW w:w="6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2640" w:type="dxa"/>
            <w:vAlign w:val="bottom"/>
            <w:gridSpan w:val="2"/>
          </w:tcPr>
          <w:p>
            <w:pPr>
              <w:jc w:val="center"/>
              <w:ind w:right="100"/>
              <w:spacing w:after="0" w:line="152" w:lineRule="exact"/>
              <w:rPr>
                <w:sz w:val="20"/>
                <w:szCs w:val="20"/>
                <w:color w:val="auto"/>
              </w:rPr>
            </w:pPr>
            <w:r>
              <w:rPr>
                <w:rFonts w:ascii="Arial" w:cs="Arial" w:eastAsia="Arial" w:hAnsi="Arial"/>
                <w:sz w:val="16"/>
                <w:szCs w:val="16"/>
                <w:b w:val="1"/>
                <w:bCs w:val="1"/>
                <w:color w:val="auto"/>
                <w:w w:val="91"/>
              </w:rPr>
              <w:t>Amount and Nature of</w:t>
            </w:r>
          </w:p>
        </w:tc>
        <w:tc>
          <w:tcPr>
            <w:tcW w:w="1900" w:type="dxa"/>
            <w:vAlign w:val="bottom"/>
          </w:tcPr>
          <w:p>
            <w:pPr>
              <w:jc w:val="center"/>
              <w:spacing w:after="0" w:line="152" w:lineRule="exact"/>
              <w:rPr>
                <w:sz w:val="20"/>
                <w:szCs w:val="20"/>
                <w:color w:val="auto"/>
              </w:rPr>
            </w:pPr>
            <w:r>
              <w:rPr>
                <w:rFonts w:ascii="Arial" w:cs="Arial" w:eastAsia="Arial" w:hAnsi="Arial"/>
                <w:sz w:val="16"/>
                <w:szCs w:val="16"/>
                <w:b w:val="1"/>
                <w:bCs w:val="1"/>
                <w:color w:val="auto"/>
                <w:w w:val="86"/>
              </w:rPr>
              <w:t>Percentage of</w:t>
            </w:r>
          </w:p>
        </w:tc>
        <w:tc>
          <w:tcPr>
            <w:tcW w:w="0" w:type="dxa"/>
            <w:vAlign w:val="bottom"/>
          </w:tcPr>
          <w:p>
            <w:pPr>
              <w:spacing w:after="0"/>
              <w:rPr>
                <w:sz w:val="1"/>
                <w:szCs w:val="1"/>
                <w:color w:val="auto"/>
              </w:rPr>
            </w:pPr>
          </w:p>
        </w:tc>
      </w:tr>
      <w:tr>
        <w:trPr>
          <w:trHeight w:val="208"/>
        </w:trPr>
        <w:tc>
          <w:tcPr>
            <w:tcW w:w="6700" w:type="dxa"/>
            <w:vAlign w:val="bottom"/>
            <w:gridSpan w:val="2"/>
            <w:vMerge w:val="continue"/>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 Ownership</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4"/>
              </w:rPr>
              <w:t>Class</w:t>
            </w:r>
          </w:p>
        </w:tc>
        <w:tc>
          <w:tcPr>
            <w:tcW w:w="0" w:type="dxa"/>
            <w:vAlign w:val="bottom"/>
          </w:tcPr>
          <w:p>
            <w:pPr>
              <w:spacing w:after="0"/>
              <w:rPr>
                <w:sz w:val="1"/>
                <w:szCs w:val="1"/>
                <w:color w:val="auto"/>
              </w:rPr>
            </w:pPr>
          </w:p>
        </w:tc>
      </w:tr>
      <w:tr>
        <w:trPr>
          <w:trHeight w:val="220"/>
        </w:trPr>
        <w:tc>
          <w:tcPr>
            <w:tcW w:w="660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Travis D. Stice</w:t>
            </w:r>
            <w:r>
              <w:rPr>
                <w:rFonts w:ascii="Arial" w:cs="Arial" w:eastAsia="Arial" w:hAnsi="Arial"/>
                <w:sz w:val="22"/>
                <w:szCs w:val="22"/>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403,324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Kaes Van’t Hof</w:t>
            </w:r>
            <w:r>
              <w:rPr>
                <w:rFonts w:ascii="Arial" w:cs="Arial" w:eastAsia="Arial" w:hAnsi="Arial"/>
                <w:sz w:val="22"/>
                <w:szCs w:val="22"/>
                <w:color w:val="auto"/>
                <w:vertAlign w:val="superscript"/>
              </w:rPr>
              <w:t>(3)</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45,615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Teresa L. Dick</w:t>
            </w:r>
            <w:r>
              <w:rPr>
                <w:rFonts w:ascii="Arial" w:cs="Arial" w:eastAsia="Arial" w:hAnsi="Arial"/>
                <w:sz w:val="22"/>
                <w:szCs w:val="22"/>
                <w:color w:val="auto"/>
                <w:vertAlign w:val="superscript"/>
              </w:rPr>
              <w:t>(4)</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49,535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Matt Zmigrosky</w:t>
            </w:r>
            <w:r>
              <w:rPr>
                <w:rFonts w:ascii="Arial" w:cs="Arial" w:eastAsia="Arial" w:hAnsi="Arial"/>
                <w:sz w:val="22"/>
                <w:szCs w:val="22"/>
                <w:color w:val="auto"/>
                <w:vertAlign w:val="superscript"/>
              </w:rPr>
              <w:t>(5)</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14,175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Laurie H. Argo</w:t>
            </w:r>
          </w:p>
        </w:tc>
        <w:tc>
          <w:tcPr>
            <w:tcW w:w="2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Arturo Vivar</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7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Steven E. West</w:t>
            </w:r>
            <w:r>
              <w:rPr>
                <w:rFonts w:ascii="Arial" w:cs="Arial" w:eastAsia="Arial" w:hAnsi="Arial"/>
                <w:sz w:val="22"/>
                <w:szCs w:val="22"/>
                <w:color w:val="auto"/>
                <w:vertAlign w:val="superscript"/>
              </w:rPr>
              <w:t>(6)</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3,756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(7 persons)</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516,405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15" w:lineRule="exact"/>
        <w:rPr>
          <w:sz w:val="20"/>
          <w:szCs w:val="20"/>
          <w:color w:val="auto"/>
        </w:rPr>
      </w:pPr>
    </w:p>
    <w:p>
      <w:pPr>
        <w:jc w:val="both"/>
        <w:ind w:left="480" w:hanging="475"/>
        <w:spacing w:after="0" w:line="274" w:lineRule="auto"/>
        <w:tabs>
          <w:tab w:leader="none" w:pos="4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SEC rules. In computing percentage ownership of each person, (i) shares of common stock subject to options held by that person that are exercisable as of January 31, 2022 and (ii) shares of common stock subject to options or restricted stock units held by that person that are exercisable or vesting within 60 days of January 31, 2022, are all deemed to be beneficially owned. These shares, however, are not deemed outstanding for the purpose of computing the percentage ownership of each other person. The percentage of shares beneficially owned is based on 177,412,057 shares of common stock outstanding as of January 31, 2022. Unless otherwise indicated, all amounts exclude shares issuable upon the exercise of outstanding options and vesting of restricted stock units that are not exercisable and/or vested as of January 31, 2022 or within 60 days of January 31, 2022. Except as noted, each stockholder in the above table is believed to have sole voting and sole investment power with respect to the shares of common stock beneficially held.</w:t>
      </w:r>
    </w:p>
    <w:p>
      <w:pPr>
        <w:spacing w:after="0" w:line="5" w:lineRule="exact"/>
        <w:rPr>
          <w:rFonts w:ascii="Arial" w:cs="Arial" w:eastAsia="Arial" w:hAnsi="Arial"/>
          <w:sz w:val="16"/>
          <w:szCs w:val="16"/>
          <w:color w:val="auto"/>
        </w:rPr>
      </w:pPr>
    </w:p>
    <w:p>
      <w:pPr>
        <w:jc w:val="both"/>
        <w:ind w:left="480" w:hanging="475"/>
        <w:spacing w:after="0" w:line="274" w:lineRule="auto"/>
        <w:tabs>
          <w:tab w:leader="none" w:pos="4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these shares are held by Stice Investments, Ltd., which is managed by Stice Management, LLC, its general partner. Mr. Stice and his spouse hold 100% of the membership interests in Stice Management, LLC, of which Mr. Stice is the manager. Includes 26,325 restricted stock units, that are scheduled to vest on March 1, 2022. Excludes 11,499 restricted stock units, that are scheduled to vest on March 1, 2023. Also excludes (i) 49,436 performance-based restricted stock units awarded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(ii) 66,714 performance-based restricted stock units awarded to Mr. Stice on March 1, 2020, which are subject to the satisfaction of certain stockholder return performance conditions relative to Diamondback’s peer group during the three-year performance period ending on December 31, 2022 and (iii) 51,748 performance-based restricted stock units awarded to Mr. Stice on March 1, 2021, which are subject to the satisfaction of certain stockholder return performance conditions relative to Diamondback’s peer group during the three-year performance period ending on December 31, 2023.</w:t>
      </w:r>
    </w:p>
    <w:p>
      <w:pPr>
        <w:spacing w:after="0" w:line="8" w:lineRule="exact"/>
        <w:rPr>
          <w:rFonts w:ascii="Arial" w:cs="Arial" w:eastAsia="Arial" w:hAnsi="Arial"/>
          <w:sz w:val="16"/>
          <w:szCs w:val="16"/>
          <w:color w:val="auto"/>
        </w:rPr>
      </w:pPr>
    </w:p>
    <w:p>
      <w:pPr>
        <w:jc w:val="both"/>
        <w:ind w:left="480" w:hanging="475"/>
        <w:spacing w:after="0" w:line="256" w:lineRule="auto"/>
        <w:tabs>
          <w:tab w:leader="none" w:pos="492" w:val="left"/>
        </w:tabs>
        <w:numPr>
          <w:ilvl w:val="0"/>
          <w:numId w:val="21"/>
        </w:numPr>
        <w:rPr>
          <w:rFonts w:ascii="Arial" w:cs="Arial" w:eastAsia="Arial" w:hAnsi="Arial"/>
          <w:sz w:val="16"/>
          <w:szCs w:val="16"/>
          <w:color w:val="auto"/>
        </w:rPr>
      </w:pPr>
      <w:r>
        <w:rPr>
          <w:rFonts w:ascii="Arial" w:cs="Arial" w:eastAsia="Arial" w:hAnsi="Arial"/>
          <w:sz w:val="15"/>
          <w:szCs w:val="15"/>
          <w:color w:val="auto"/>
        </w:rPr>
        <w:t>Includes 12,955 restricted stock units, that are scheduled to vest on March 1, 2022. Excludes (i) 6,038 restricted stock units, that are scheduled to vest on March 1, 2023, (ii) 8,790 restricted stock units, that are scheduled to vest in five equal annual installments beginning on March 1, 2025, (iii) 23,070 performance-based restricted stock units awarded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(iv) 13,183 performance-based restricted stock units awarded to Mr. Van’t Hof on March 1, 2019 (representing 100% vesting of the originally reported amount) based upon final determination upon certification of certain stockholders return performance conditions relative to Diamondback’s peer group during the three-year performance period ended on December 31, 2021, that are scheduled to vest in five equal installments beginning on March 1, 2025,</w:t>
      </w:r>
    </w:p>
    <w:p>
      <w:pPr>
        <w:spacing w:after="0" w:line="5" w:lineRule="exact"/>
        <w:rPr>
          <w:rFonts w:ascii="Arial" w:cs="Arial" w:eastAsia="Arial" w:hAnsi="Arial"/>
          <w:sz w:val="16"/>
          <w:szCs w:val="16"/>
          <w:color w:val="auto"/>
        </w:rPr>
      </w:pPr>
    </w:p>
    <w:p>
      <w:pPr>
        <w:jc w:val="both"/>
        <w:ind w:left="480"/>
        <w:spacing w:after="0" w:line="219" w:lineRule="auto"/>
        <w:tabs>
          <w:tab w:leader="none" w:pos="7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31,133 performance-based restricted stock units awarded to Mr. Van’t Hof on March 1, 2020, that are subject to the satisfaction of certain stockholder return performance conditions relative to Diamondback’s peer group during the three-year performance period ending on December 31, 2022 and (vi) 27,168 performance-based restricted stock units awarded to Mr. Van’t Hof on March 1, 2021, which are subject to the satisfaction of certain stockholder return performance conditions relative to Diamondback’s peer group during the three-year performance period ending on December 31, 2023.</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80" w:hanging="475"/>
        <w:spacing w:after="0" w:line="276" w:lineRule="auto"/>
        <w:tabs>
          <w:tab w:leader="none" w:pos="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7,403 restricted stock units, that are scheduled to vest on March 1, 2022. Excludes 3,450 restricted stock units, that are scheduled to vest on March 1, 2023. Also excludes (i) 13,183 performance-based restricted stock units awarded to Ms. Dick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(ii) 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 and (iii) 15,524 performance-based restricted stock units awarded to Ms. Dick on March 1, 2021, which are subject to the satisfaction of certain stockholder return performance conditions relative to Diamondback’s peer group during the three-year performance period ending on December 31, 2023.</w:t>
      </w:r>
    </w:p>
    <w:p>
      <w:pPr>
        <w:spacing w:after="0" w:line="4" w:lineRule="exact"/>
        <w:rPr>
          <w:rFonts w:ascii="Arial" w:cs="Arial" w:eastAsia="Arial" w:hAnsi="Arial"/>
          <w:sz w:val="16"/>
          <w:szCs w:val="16"/>
          <w:color w:val="auto"/>
        </w:rPr>
      </w:pPr>
    </w:p>
    <w:p>
      <w:pPr>
        <w:jc w:val="both"/>
        <w:ind w:left="480" w:hanging="475"/>
        <w:spacing w:after="0" w:line="274" w:lineRule="auto"/>
        <w:tabs>
          <w:tab w:leader="none" w:pos="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5,922 restricted stock units, that are scheduled to vest on March 1, 2022. Excludes 2,760 restricted stock units, that are scheduled to vest on March 1, 2023. Also excludes (i) 10,546 performance-based restricted stock units awarded to Mr. Zmigrosky on March 1, 2019, that vested effective December 31, 2021 (representing 100% vesting of the originally reported amount) based upon final determination upon certification of certain stockholder return performance conditions relative to Diamondback’s peer group during the three-year performance period ended on December 31, 2021 by Diamondback’s compensation committee and (ii) 14,232 performance-based restricted stock units awarded to Mr. Zmigrosky on March 1, 2020, that are subject to the satisfaction of certain stockholder return performance conditions relative to Diamondback’s peer group during the three-year performance period ending on December 31, 2022 and (iii) 12,420 performance-based restricted stock units awarded to Mr. Zmigrosky on March 1, 2021, which are subject to the satisfaction of certain stockholder return performance conditions relative to Diamondback’s peer group during the three-year performance period ending on December 31, 2023.</w:t>
      </w:r>
    </w:p>
    <w:p>
      <w:pPr>
        <w:spacing w:after="0" w:line="6" w:lineRule="exact"/>
        <w:rPr>
          <w:rFonts w:ascii="Arial" w:cs="Arial" w:eastAsia="Arial" w:hAnsi="Arial"/>
          <w:sz w:val="16"/>
          <w:szCs w:val="16"/>
          <w:color w:val="auto"/>
        </w:rPr>
      </w:pPr>
    </w:p>
    <w:p>
      <w:pPr>
        <w:ind w:left="480" w:hanging="475"/>
        <w:spacing w:after="0" w:line="248"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2,435 restricted stock units that are scheduled to vest on the earlier of the one-year anniversary of the date of grant and the date of the 2022 annual meeting of stockholders of Diamondback.</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Holdings of Major Unitholders</w:t>
      </w:r>
    </w:p>
    <w:p>
      <w:pPr>
        <w:spacing w:after="0" w:line="247"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units and Class B units as of February 14, 2022 by each unitholder known by us to beneficially own 5% or more of our common units or Class B units.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960" w:type="dxa"/>
            <w:vAlign w:val="bottom"/>
          </w:tcPr>
          <w:p>
            <w:pPr>
              <w:spacing w:after="0"/>
              <w:rPr>
                <w:sz w:val="18"/>
                <w:szCs w:val="18"/>
                <w:color w:val="auto"/>
              </w:rPr>
            </w:pPr>
          </w:p>
        </w:tc>
        <w:tc>
          <w:tcPr>
            <w:tcW w:w="3500" w:type="dxa"/>
            <w:vAlign w:val="bottom"/>
            <w:tcBorders>
              <w:bottom w:val="single" w:sz="8" w:color="auto"/>
            </w:tcBorders>
            <w:gridSpan w:val="2"/>
          </w:tcPr>
          <w:p>
            <w:pPr>
              <w:jc w:val="right"/>
              <w:ind w:right="1154"/>
              <w:spacing w:after="0"/>
              <w:rPr>
                <w:sz w:val="20"/>
                <w:szCs w:val="20"/>
                <w:color w:val="auto"/>
              </w:rPr>
            </w:pPr>
            <w:r>
              <w:rPr>
                <w:rFonts w:ascii="Arial" w:cs="Arial" w:eastAsia="Arial" w:hAnsi="Arial"/>
                <w:sz w:val="16"/>
                <w:szCs w:val="16"/>
                <w:b w:val="1"/>
                <w:bCs w:val="1"/>
                <w:color w:val="auto"/>
              </w:rPr>
              <w:t>Common Units</w:t>
            </w:r>
          </w:p>
        </w:tc>
        <w:tc>
          <w:tcPr>
            <w:tcW w:w="120" w:type="dxa"/>
            <w:vAlign w:val="bottom"/>
          </w:tcPr>
          <w:p>
            <w:pPr>
              <w:spacing w:after="0"/>
              <w:rPr>
                <w:sz w:val="18"/>
                <w:szCs w:val="18"/>
                <w:color w:val="auto"/>
              </w:rPr>
            </w:pPr>
          </w:p>
        </w:tc>
        <w:tc>
          <w:tcPr>
            <w:tcW w:w="3560" w:type="dxa"/>
            <w:vAlign w:val="bottom"/>
            <w:tcBorders>
              <w:bottom w:val="single" w:sz="8" w:color="auto"/>
            </w:tcBorders>
            <w:gridSpan w:val="2"/>
          </w:tcPr>
          <w:p>
            <w:pPr>
              <w:jc w:val="right"/>
              <w:ind w:right="1256"/>
              <w:spacing w:after="0"/>
              <w:rPr>
                <w:sz w:val="20"/>
                <w:szCs w:val="20"/>
                <w:color w:val="auto"/>
              </w:rPr>
            </w:pPr>
            <w:r>
              <w:rPr>
                <w:rFonts w:ascii="Arial" w:cs="Arial" w:eastAsia="Arial" w:hAnsi="Arial"/>
                <w:sz w:val="16"/>
                <w:szCs w:val="16"/>
                <w:b w:val="1"/>
                <w:bCs w:val="1"/>
                <w:color w:val="auto"/>
              </w:rPr>
              <w:t>Class B Units</w:t>
            </w:r>
          </w:p>
        </w:tc>
        <w:tc>
          <w:tcPr>
            <w:tcW w:w="0" w:type="dxa"/>
            <w:vAlign w:val="bottom"/>
          </w:tcPr>
          <w:p>
            <w:pPr>
              <w:spacing w:after="0"/>
              <w:rPr>
                <w:sz w:val="1"/>
                <w:szCs w:val="1"/>
                <w:color w:val="auto"/>
              </w:rPr>
            </w:pPr>
          </w:p>
        </w:tc>
      </w:tr>
      <w:tr>
        <w:trPr>
          <w:trHeight w:val="207"/>
        </w:trPr>
        <w:tc>
          <w:tcPr>
            <w:tcW w:w="3960" w:type="dxa"/>
            <w:vAlign w:val="bottom"/>
            <w:vMerge w:val="restart"/>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760" w:type="dxa"/>
            <w:vAlign w:val="bottom"/>
          </w:tcPr>
          <w:p>
            <w:pPr>
              <w:jc w:val="right"/>
              <w:ind w:right="115"/>
              <w:spacing w:after="0"/>
              <w:rPr>
                <w:sz w:val="20"/>
                <w:szCs w:val="20"/>
                <w:color w:val="auto"/>
              </w:rPr>
            </w:pPr>
            <w:r>
              <w:rPr>
                <w:rFonts w:ascii="Arial" w:cs="Arial" w:eastAsia="Arial" w:hAnsi="Arial"/>
                <w:sz w:val="16"/>
                <w:szCs w:val="16"/>
                <w:b w:val="1"/>
                <w:bCs w:val="1"/>
                <w:color w:val="auto"/>
                <w:w w:val="91"/>
              </w:rPr>
              <w:t>Amount and Nature of</w:t>
            </w: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Percentage of Class</w:t>
            </w:r>
          </w:p>
        </w:tc>
        <w:tc>
          <w:tcPr>
            <w:tcW w:w="1800" w:type="dxa"/>
            <w:vAlign w:val="bottom"/>
          </w:tcPr>
          <w:p>
            <w:pPr>
              <w:jc w:val="right"/>
              <w:ind w:right="137"/>
              <w:spacing w:after="0"/>
              <w:rPr>
                <w:sz w:val="20"/>
                <w:szCs w:val="20"/>
                <w:color w:val="auto"/>
              </w:rPr>
            </w:pPr>
            <w:r>
              <w:rPr>
                <w:rFonts w:ascii="Arial" w:cs="Arial" w:eastAsia="Arial" w:hAnsi="Arial"/>
                <w:sz w:val="16"/>
                <w:szCs w:val="16"/>
                <w:b w:val="1"/>
                <w:bCs w:val="1"/>
                <w:color w:val="auto"/>
                <w:w w:val="92"/>
              </w:rPr>
              <w:t>Amount and Nature of</w:t>
            </w:r>
          </w:p>
        </w:tc>
        <w:tc>
          <w:tcPr>
            <w:tcW w:w="1760" w:type="dxa"/>
            <w:vAlign w:val="bottom"/>
          </w:tcPr>
          <w:p>
            <w:pPr>
              <w:jc w:val="right"/>
              <w:ind w:right="156"/>
              <w:spacing w:after="0"/>
              <w:rPr>
                <w:sz w:val="20"/>
                <w:szCs w:val="20"/>
                <w:color w:val="auto"/>
              </w:rPr>
            </w:pPr>
            <w:r>
              <w:rPr>
                <w:rFonts w:ascii="Arial" w:cs="Arial" w:eastAsia="Arial" w:hAnsi="Arial"/>
                <w:sz w:val="16"/>
                <w:szCs w:val="16"/>
                <w:b w:val="1"/>
                <w:bCs w:val="1"/>
                <w:color w:val="auto"/>
                <w:w w:val="98"/>
              </w:rPr>
              <w:t>Percentage of Class</w:t>
            </w:r>
          </w:p>
        </w:tc>
        <w:tc>
          <w:tcPr>
            <w:tcW w:w="0" w:type="dxa"/>
            <w:vAlign w:val="bottom"/>
          </w:tcPr>
          <w:p>
            <w:pPr>
              <w:spacing w:after="0"/>
              <w:rPr>
                <w:sz w:val="1"/>
                <w:szCs w:val="1"/>
                <w:color w:val="auto"/>
              </w:rPr>
            </w:pPr>
          </w:p>
        </w:tc>
      </w:tr>
      <w:tr>
        <w:trPr>
          <w:trHeight w:val="211"/>
        </w:trPr>
        <w:tc>
          <w:tcPr>
            <w:tcW w:w="3960" w:type="dxa"/>
            <w:vAlign w:val="bottom"/>
            <w:vMerge w:val="continue"/>
          </w:tcPr>
          <w:p>
            <w:pPr>
              <w:spacing w:after="0"/>
              <w:rPr>
                <w:sz w:val="18"/>
                <w:szCs w:val="18"/>
                <w:color w:val="auto"/>
              </w:rPr>
            </w:pPr>
          </w:p>
        </w:tc>
        <w:tc>
          <w:tcPr>
            <w:tcW w:w="1760" w:type="dxa"/>
            <w:vAlign w:val="bottom"/>
          </w:tcPr>
          <w:p>
            <w:pPr>
              <w:jc w:val="right"/>
              <w:ind w:right="95"/>
              <w:spacing w:after="0" w:line="210" w:lineRule="exact"/>
              <w:rPr>
                <w:sz w:val="20"/>
                <w:szCs w:val="20"/>
                <w:color w:val="auto"/>
              </w:rPr>
            </w:pPr>
            <w:r>
              <w:rPr>
                <w:rFonts w:ascii="Arial" w:cs="Arial" w:eastAsia="Arial" w:hAnsi="Arial"/>
                <w:sz w:val="16"/>
                <w:szCs w:val="16"/>
                <w:b w:val="1"/>
                <w:bCs w:val="1"/>
                <w:color w:val="auto"/>
                <w:w w:val="87"/>
              </w:rPr>
              <w:t>Beneficial Ownership</w:t>
            </w:r>
            <w:r>
              <w:rPr>
                <w:rFonts w:ascii="Arial" w:cs="Arial" w:eastAsia="Arial" w:hAnsi="Arial"/>
                <w:sz w:val="20"/>
                <w:szCs w:val="20"/>
                <w:b w:val="1"/>
                <w:bCs w:val="1"/>
                <w:color w:val="auto"/>
                <w:w w:val="87"/>
                <w:vertAlign w:val="superscript"/>
              </w:rPr>
              <w:t>(1)</w:t>
            </w: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Beneficially Owned</w:t>
            </w:r>
          </w:p>
        </w:tc>
        <w:tc>
          <w:tcPr>
            <w:tcW w:w="1800" w:type="dxa"/>
            <w:vAlign w:val="bottom"/>
          </w:tcPr>
          <w:p>
            <w:pPr>
              <w:jc w:val="right"/>
              <w:ind w:right="117"/>
              <w:spacing w:after="0" w:line="210" w:lineRule="exact"/>
              <w:rPr>
                <w:sz w:val="20"/>
                <w:szCs w:val="20"/>
                <w:color w:val="auto"/>
              </w:rPr>
            </w:pPr>
            <w:r>
              <w:rPr>
                <w:rFonts w:ascii="Arial" w:cs="Arial" w:eastAsia="Arial" w:hAnsi="Arial"/>
                <w:sz w:val="16"/>
                <w:szCs w:val="16"/>
                <w:b w:val="1"/>
                <w:bCs w:val="1"/>
                <w:color w:val="auto"/>
                <w:w w:val="88"/>
              </w:rPr>
              <w:t>Beneficial Ownership</w:t>
            </w:r>
            <w:r>
              <w:rPr>
                <w:rFonts w:ascii="Arial" w:cs="Arial" w:eastAsia="Arial" w:hAnsi="Arial"/>
                <w:sz w:val="20"/>
                <w:szCs w:val="20"/>
                <w:b w:val="1"/>
                <w:bCs w:val="1"/>
                <w:color w:val="auto"/>
                <w:w w:val="88"/>
                <w:vertAlign w:val="superscript"/>
              </w:rPr>
              <w:t>(1)</w:t>
            </w:r>
          </w:p>
        </w:tc>
        <w:tc>
          <w:tcPr>
            <w:tcW w:w="1760" w:type="dxa"/>
            <w:vAlign w:val="bottom"/>
          </w:tcPr>
          <w:p>
            <w:pPr>
              <w:jc w:val="right"/>
              <w:ind w:right="156"/>
              <w:spacing w:after="0"/>
              <w:rPr>
                <w:sz w:val="20"/>
                <w:szCs w:val="20"/>
                <w:color w:val="auto"/>
              </w:rPr>
            </w:pPr>
            <w:r>
              <w:rPr>
                <w:rFonts w:ascii="Arial" w:cs="Arial" w:eastAsia="Arial" w:hAnsi="Arial"/>
                <w:sz w:val="16"/>
                <w:szCs w:val="16"/>
                <w:b w:val="1"/>
                <w:bCs w:val="1"/>
                <w:color w:val="auto"/>
              </w:rPr>
              <w:t>Beneficially Owned</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spacing w:after="0" w:line="225"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2"/>
                <w:szCs w:val="22"/>
                <w:color w:val="auto"/>
                <w:vertAlign w:val="superscript"/>
              </w:rPr>
              <w:t>(2)</w:t>
            </w:r>
          </w:p>
        </w:tc>
        <w:tc>
          <w:tcPr>
            <w:tcW w:w="1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500 West Texas Avenue, Suite 1200</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Midland, Texas 79701</w:t>
            </w:r>
          </w:p>
        </w:tc>
        <w:tc>
          <w:tcPr>
            <w:tcW w:w="17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107,815,152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5"/>
        </w:trPr>
        <w:tc>
          <w:tcPr>
            <w:tcW w:w="3960" w:type="dxa"/>
            <w:vAlign w:val="bottom"/>
          </w:tcPr>
          <w:p>
            <w:pPr>
              <w:spacing w:after="0" w:line="225" w:lineRule="exact"/>
              <w:rPr>
                <w:sz w:val="20"/>
                <w:szCs w:val="20"/>
                <w:color w:val="auto"/>
              </w:rPr>
            </w:pPr>
            <w:r>
              <w:rPr>
                <w:rFonts w:ascii="Arial" w:cs="Arial" w:eastAsia="Arial" w:hAnsi="Arial"/>
                <w:sz w:val="18"/>
                <w:szCs w:val="18"/>
                <w:color w:val="auto"/>
              </w:rPr>
              <w:t>Cardinal Capital Management, LLC</w:t>
            </w:r>
            <w:r>
              <w:rPr>
                <w:rFonts w:ascii="Arial" w:cs="Arial" w:eastAsia="Arial" w:hAnsi="Arial"/>
                <w:sz w:val="22"/>
                <w:szCs w:val="22"/>
                <w:color w:val="auto"/>
                <w:vertAlign w:val="superscript"/>
              </w:rPr>
              <w:t>(3)</w:t>
            </w: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80"/>
              <w:spacing w:after="0"/>
              <w:rPr>
                <w:sz w:val="20"/>
                <w:szCs w:val="20"/>
                <w:color w:val="auto"/>
              </w:rPr>
            </w:pPr>
            <w:r>
              <w:rPr>
                <w:rFonts w:ascii="Arial" w:cs="Arial" w:eastAsia="Arial" w:hAnsi="Arial"/>
                <w:sz w:val="18"/>
                <w:szCs w:val="18"/>
                <w:color w:val="auto"/>
              </w:rPr>
              <w:t>4 Greenwich Office Park</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Pr>
          <w:p>
            <w:pPr>
              <w:ind w:left="280"/>
              <w:spacing w:after="0"/>
              <w:rPr>
                <w:sz w:val="20"/>
                <w:szCs w:val="20"/>
                <w:color w:val="auto"/>
              </w:rPr>
            </w:pPr>
            <w:r>
              <w:rPr>
                <w:rFonts w:ascii="Arial" w:cs="Arial" w:eastAsia="Arial" w:hAnsi="Arial"/>
                <w:sz w:val="18"/>
                <w:szCs w:val="18"/>
                <w:color w:val="auto"/>
              </w:rPr>
              <w:t>Greenwich, CT 06831</w:t>
            </w:r>
          </w:p>
        </w:tc>
        <w:tc>
          <w:tcPr>
            <w:tcW w:w="1760" w:type="dxa"/>
            <w:vAlign w:val="bottom"/>
          </w:tcPr>
          <w:p>
            <w:pPr>
              <w:jc w:val="right"/>
              <w:ind w:right="135"/>
              <w:spacing w:after="0"/>
              <w:rPr>
                <w:sz w:val="20"/>
                <w:szCs w:val="20"/>
                <w:color w:val="auto"/>
              </w:rPr>
            </w:pPr>
            <w:r>
              <w:rPr>
                <w:rFonts w:ascii="Arial" w:cs="Arial" w:eastAsia="Arial" w:hAnsi="Arial"/>
                <w:sz w:val="18"/>
                <w:szCs w:val="18"/>
                <w:color w:val="auto"/>
              </w:rPr>
              <w:t>3,199,594</w:t>
            </w:r>
          </w:p>
        </w:tc>
        <w:tc>
          <w:tcPr>
            <w:tcW w:w="174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spacing w:after="0" w:line="173" w:lineRule="exact"/>
              <w:rPr>
                <w:sz w:val="20"/>
                <w:szCs w:val="20"/>
                <w:color w:val="auto"/>
              </w:rPr>
            </w:pPr>
            <w:r>
              <w:rPr>
                <w:rFonts w:ascii="Arial" w:cs="Arial" w:eastAsia="Arial" w:hAnsi="Arial"/>
                <w:sz w:val="15"/>
                <w:szCs w:val="15"/>
                <w:color w:val="auto"/>
              </w:rPr>
              <w:t xml:space="preserve">ClearBridge Investments, LLC </w:t>
            </w:r>
            <w:r>
              <w:rPr>
                <w:rFonts w:ascii="Arial" w:cs="Arial" w:eastAsia="Arial" w:hAnsi="Arial"/>
                <w:sz w:val="19"/>
                <w:szCs w:val="19"/>
                <w:color w:val="auto"/>
                <w:vertAlign w:val="superscript"/>
              </w:rPr>
              <w:t>(4)</w:t>
            </w:r>
          </w:p>
        </w:tc>
        <w:tc>
          <w:tcPr>
            <w:tcW w:w="17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80"/>
              <w:spacing w:after="0" w:line="171" w:lineRule="exact"/>
              <w:rPr>
                <w:sz w:val="20"/>
                <w:szCs w:val="20"/>
                <w:color w:val="auto"/>
              </w:rPr>
            </w:pPr>
            <w:r>
              <w:rPr>
                <w:rFonts w:ascii="Arial" w:cs="Arial" w:eastAsia="Arial" w:hAnsi="Arial"/>
                <w:sz w:val="18"/>
                <w:szCs w:val="18"/>
                <w:color w:val="auto"/>
              </w:rPr>
              <w:t>620 8th Avenue</w:t>
            </w:r>
          </w:p>
        </w:tc>
        <w:tc>
          <w:tcPr>
            <w:tcW w:w="176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3,086,248</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7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New York, NY 10018</w:t>
            </w:r>
          </w:p>
        </w:tc>
        <w:tc>
          <w:tcPr>
            <w:tcW w:w="1760" w:type="dxa"/>
            <w:vAlign w:val="bottom"/>
            <w:vMerge w:val="continue"/>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line="225" w:lineRule="exact"/>
              <w:rPr>
                <w:sz w:val="20"/>
                <w:szCs w:val="20"/>
                <w:color w:val="auto"/>
              </w:rPr>
            </w:pPr>
            <w:r>
              <w:rPr>
                <w:rFonts w:ascii="Arial" w:cs="Arial" w:eastAsia="Arial" w:hAnsi="Arial"/>
                <w:sz w:val="18"/>
                <w:szCs w:val="18"/>
                <w:color w:val="auto"/>
              </w:rPr>
              <w:t xml:space="preserve">Capital World Investors </w:t>
            </w:r>
            <w:r>
              <w:rPr>
                <w:rFonts w:ascii="Arial" w:cs="Arial" w:eastAsia="Arial" w:hAnsi="Arial"/>
                <w:sz w:val="22"/>
                <w:szCs w:val="22"/>
                <w:color w:val="auto"/>
                <w:vertAlign w:val="superscript"/>
              </w:rPr>
              <w:t>(5)</w:t>
            </w: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80"/>
              <w:spacing w:after="0"/>
              <w:rPr>
                <w:sz w:val="20"/>
                <w:szCs w:val="20"/>
                <w:color w:val="auto"/>
              </w:rPr>
            </w:pPr>
            <w:r>
              <w:rPr>
                <w:rFonts w:ascii="Arial" w:cs="Arial" w:eastAsia="Arial" w:hAnsi="Arial"/>
                <w:sz w:val="18"/>
                <w:szCs w:val="18"/>
                <w:color w:val="auto"/>
              </w:rPr>
              <w:t>333 South Hope Street</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Pr>
          <w:p>
            <w:pPr>
              <w:ind w:left="280"/>
              <w:spacing w:after="0"/>
              <w:rPr>
                <w:sz w:val="20"/>
                <w:szCs w:val="20"/>
                <w:color w:val="auto"/>
              </w:rPr>
            </w:pPr>
            <w:r>
              <w:rPr>
                <w:rFonts w:ascii="Arial" w:cs="Arial" w:eastAsia="Arial" w:hAnsi="Arial"/>
                <w:sz w:val="18"/>
                <w:szCs w:val="18"/>
                <w:color w:val="auto"/>
              </w:rPr>
              <w:t>Los Angeles, CA 90071</w:t>
            </w:r>
          </w:p>
        </w:tc>
        <w:tc>
          <w:tcPr>
            <w:tcW w:w="1760" w:type="dxa"/>
            <w:vAlign w:val="bottom"/>
          </w:tcPr>
          <w:p>
            <w:pPr>
              <w:jc w:val="right"/>
              <w:ind w:right="135"/>
              <w:spacing w:after="0"/>
              <w:rPr>
                <w:sz w:val="20"/>
                <w:szCs w:val="20"/>
                <w:color w:val="auto"/>
              </w:rPr>
            </w:pPr>
            <w:r>
              <w:rPr>
                <w:rFonts w:ascii="Arial" w:cs="Arial" w:eastAsia="Arial" w:hAnsi="Arial"/>
                <w:sz w:val="18"/>
                <w:szCs w:val="18"/>
                <w:color w:val="auto"/>
              </w:rPr>
              <w:t>2,859,750</w:t>
            </w:r>
          </w:p>
        </w:tc>
        <w:tc>
          <w:tcPr>
            <w:tcW w:w="17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spacing w:after="0" w:line="225" w:lineRule="exact"/>
              <w:rPr>
                <w:sz w:val="20"/>
                <w:szCs w:val="20"/>
                <w:color w:val="auto"/>
              </w:rPr>
            </w:pPr>
            <w:r>
              <w:rPr>
                <w:rFonts w:ascii="Arial" w:cs="Arial" w:eastAsia="Arial" w:hAnsi="Arial"/>
                <w:sz w:val="18"/>
                <w:szCs w:val="18"/>
                <w:color w:val="auto"/>
              </w:rPr>
              <w:t xml:space="preserve">Macquarie Group Limited </w:t>
            </w:r>
            <w:r>
              <w:rPr>
                <w:rFonts w:ascii="Arial" w:cs="Arial" w:eastAsia="Arial" w:hAnsi="Arial"/>
                <w:sz w:val="22"/>
                <w:szCs w:val="22"/>
                <w:color w:val="auto"/>
                <w:vertAlign w:val="superscript"/>
              </w:rPr>
              <w:t>(6)</w:t>
            </w:r>
          </w:p>
        </w:tc>
        <w:tc>
          <w:tcPr>
            <w:tcW w:w="1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 Martin Place</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Sydney, New South Wales, Australia</w:t>
            </w:r>
          </w:p>
        </w:tc>
        <w:tc>
          <w:tcPr>
            <w:tcW w:w="17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2,269,273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line="225" w:lineRule="exact"/>
              <w:rPr>
                <w:sz w:val="20"/>
                <w:szCs w:val="20"/>
                <w:color w:val="auto"/>
              </w:rPr>
            </w:pPr>
            <w:r>
              <w:rPr>
                <w:rFonts w:ascii="Arial" w:cs="Arial" w:eastAsia="Arial" w:hAnsi="Arial"/>
                <w:sz w:val="18"/>
                <w:szCs w:val="18"/>
                <w:color w:val="auto"/>
              </w:rPr>
              <w:t xml:space="preserve">Kayne Anderson Capital Advisors, LP </w:t>
            </w:r>
            <w:r>
              <w:rPr>
                <w:rFonts w:ascii="Arial" w:cs="Arial" w:eastAsia="Arial" w:hAnsi="Arial"/>
                <w:sz w:val="22"/>
                <w:szCs w:val="22"/>
                <w:color w:val="auto"/>
                <w:vertAlign w:val="superscript"/>
              </w:rPr>
              <w:t>(7)</w:t>
            </w: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80"/>
              <w:spacing w:after="0"/>
              <w:rPr>
                <w:sz w:val="20"/>
                <w:szCs w:val="20"/>
                <w:color w:val="auto"/>
              </w:rPr>
            </w:pPr>
            <w:r>
              <w:rPr>
                <w:rFonts w:ascii="Arial" w:cs="Arial" w:eastAsia="Arial" w:hAnsi="Arial"/>
                <w:sz w:val="18"/>
                <w:szCs w:val="18"/>
                <w:color w:val="auto"/>
              </w:rPr>
              <w:t>1800 Avenue of the Stars, Third Floor</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Pr>
          <w:p>
            <w:pPr>
              <w:ind w:left="280"/>
              <w:spacing w:after="0"/>
              <w:rPr>
                <w:sz w:val="20"/>
                <w:szCs w:val="20"/>
                <w:color w:val="auto"/>
              </w:rPr>
            </w:pPr>
            <w:r>
              <w:rPr>
                <w:rFonts w:ascii="Arial" w:cs="Arial" w:eastAsia="Arial" w:hAnsi="Arial"/>
                <w:sz w:val="18"/>
                <w:szCs w:val="18"/>
                <w:color w:val="auto"/>
              </w:rPr>
              <w:t>Los Angeles, CA 90067</w:t>
            </w:r>
          </w:p>
        </w:tc>
        <w:tc>
          <w:tcPr>
            <w:tcW w:w="1760" w:type="dxa"/>
            <w:vAlign w:val="bottom"/>
          </w:tcPr>
          <w:p>
            <w:pPr>
              <w:jc w:val="right"/>
              <w:ind w:right="135"/>
              <w:spacing w:after="0"/>
              <w:rPr>
                <w:sz w:val="20"/>
                <w:szCs w:val="20"/>
                <w:color w:val="auto"/>
              </w:rPr>
            </w:pPr>
            <w:r>
              <w:rPr>
                <w:rFonts w:ascii="Arial" w:cs="Arial" w:eastAsia="Arial" w:hAnsi="Arial"/>
                <w:sz w:val="18"/>
                <w:szCs w:val="18"/>
                <w:color w:val="auto"/>
              </w:rPr>
              <w:t>2,065,968</w:t>
            </w:r>
          </w:p>
        </w:tc>
        <w:tc>
          <w:tcPr>
            <w:tcW w:w="174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18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480" w:hanging="475"/>
        <w:spacing w:after="0" w:line="253"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The percentage of common units beneficially owned is based on 38,139,805 common units outstanding as of January 31, 2022. Except as noted, each unitholder in the above table is believed to have sole voting and sole investment power with respect to the common units and Class B units beneficially held.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80" w:hanging="475"/>
        <w:spacing w:after="0" w:line="276" w:lineRule="auto"/>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Diamondback Energy, Inc. is a publicly traded company and holds no common units and no Class B units directly. Diamondback has the beneficial ownership of 107,815,152 Class B units, which are held by Diamondback E&amp;P LLC, its indirect wholly owned subsidiary (“Diamondback E&amp;P”). The 107,815,152 Class B units, together with the same number of units of the Operating Company (each, an “Operating Company unit”), held by Diamondback E&amp;P, are exchangeable from time to time, at Diamondback’s discretion, for common units (that is, one Operating Company unit and one Class B unit, together, are exchangeable for one common unit), and, as a result, Diamondback may be deemed to have the beneficial ownership of such common units. Diamondback also has shared voting and dispositive power of 107,815,152 Class B units held by Diamondback E&amp;P, which represent 100% of the outstanding Class B units. The directors of Diamondback are Travis D. Stice, Steven E. West, Vincent K. Brooks, Michael P. Cross, David L. Houston, Stephanie K. Mains, Mark L. Plaumann and Melanie M. Trent. Travis D. Stice is the sole director of Diamondback E&amp;P.</w:t>
      </w:r>
    </w:p>
    <w:p>
      <w:pPr>
        <w:spacing w:after="0" w:line="5" w:lineRule="exact"/>
        <w:rPr>
          <w:rFonts w:ascii="Arial" w:cs="Arial" w:eastAsia="Arial" w:hAnsi="Arial"/>
          <w:sz w:val="16"/>
          <w:szCs w:val="16"/>
          <w:color w:val="auto"/>
        </w:rPr>
      </w:pPr>
    </w:p>
    <w:p>
      <w:pPr>
        <w:jc w:val="both"/>
        <w:ind w:left="480" w:hanging="475"/>
        <w:spacing w:after="0" w:line="274" w:lineRule="auto"/>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Schedule 13G filed with the SEC on February 14, 2022 by Cardinal Capital Management, LLC (“Cardinal Capital”). Cardinal Capital reported beneficial ownership of 3,199,594 common units, as well as sole voting power over 2,730,898 common units and sole dispositive power over 3,199,594 common units. No shared voting power and no shared dispositive power was reported by Cardinal Capital.</w:t>
      </w:r>
    </w:p>
    <w:p>
      <w:pPr>
        <w:spacing w:after="0" w:line="2" w:lineRule="exact"/>
        <w:rPr>
          <w:rFonts w:ascii="Arial" w:cs="Arial" w:eastAsia="Arial" w:hAnsi="Arial"/>
          <w:sz w:val="16"/>
          <w:szCs w:val="16"/>
          <w:color w:val="auto"/>
        </w:rPr>
      </w:pPr>
    </w:p>
    <w:p>
      <w:pPr>
        <w:jc w:val="both"/>
        <w:ind w:left="480" w:hanging="475"/>
        <w:spacing w:after="0" w:line="211" w:lineRule="exact"/>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Schedule 13G/A filed with the SEC on February 9, 2022 by ClearBridge Investments, LLC (“ClearBridge”). The securities reported are beneficially owned by one or more open</w:t>
      </w:r>
      <w:r>
        <w:rPr>
          <w:rFonts w:ascii="MS PGothic" w:cs="MS PGothic" w:eastAsia="MS PGothic" w:hAnsi="MS PGothic"/>
          <w:sz w:val="16"/>
          <w:szCs w:val="16"/>
          <w:color w:val="auto"/>
        </w:rPr>
        <w:t>‑</w:t>
      </w:r>
      <w:r>
        <w:rPr>
          <w:rFonts w:ascii="Arial" w:cs="Arial" w:eastAsia="Arial" w:hAnsi="Arial"/>
          <w:sz w:val="16"/>
          <w:szCs w:val="16"/>
          <w:color w:val="auto"/>
        </w:rPr>
        <w:t>end investment companies or other managed accounts that are investment management clients of ClearBridge, an indirect wholly owned subsidiary of Franklin Resources, Inc. ClearBridge reported beneficial ownership of, as well as sole voting power and sole dispositive power over, 3,086,248 common units. No shared voting power and no shared dispositive power was reported by ClearBridge.</w:t>
      </w:r>
    </w:p>
    <w:p>
      <w:pPr>
        <w:spacing w:after="0" w:line="2" w:lineRule="exact"/>
        <w:rPr>
          <w:rFonts w:ascii="Arial" w:cs="Arial" w:eastAsia="Arial" w:hAnsi="Arial"/>
          <w:sz w:val="16"/>
          <w:szCs w:val="16"/>
          <w:color w:val="auto"/>
        </w:rPr>
      </w:pPr>
    </w:p>
    <w:p>
      <w:pPr>
        <w:jc w:val="both"/>
        <w:ind w:left="480" w:hanging="475"/>
        <w:spacing w:after="0" w:line="258" w:lineRule="auto"/>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Schedule 13G filed with the SEC on February 16, 2021 by Capital World Investors (“Capital World”), a division of Capital Research and Management Company. Capital World reported beneficial ownership of, as well as sole voting power and sole dispositive power over, 2,859,750 common units. No shared voting power and no shared dispositive power was reported by Capital World.</w:t>
      </w:r>
    </w:p>
    <w:p>
      <w:pPr>
        <w:spacing w:after="0" w:line="1" w:lineRule="exact"/>
        <w:rPr>
          <w:rFonts w:ascii="Arial" w:cs="Arial" w:eastAsia="Arial" w:hAnsi="Arial"/>
          <w:sz w:val="16"/>
          <w:szCs w:val="16"/>
          <w:color w:val="auto"/>
        </w:rPr>
      </w:pPr>
    </w:p>
    <w:p>
      <w:pPr>
        <w:jc w:val="both"/>
        <w:ind w:left="480" w:hanging="475"/>
        <w:spacing w:after="0" w:line="257" w:lineRule="auto"/>
        <w:tabs>
          <w:tab w:leader="none" w:pos="4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Schedule 13G filed with the SEC on February 11, 2022 by Macquarie Group Limited on behalf of itself and Macquarie Management Holdings Inc, Macquarie Investment Management Business Trust and Ivy Investment Management Company. As of December 31, 2021, Macquarie Management Holdings Inc had sole voting and dispositive power over 2,268,849 shares, Macquarie Investment Management Business Trust had sole voting and dispositive power over 2,268,849 shares, and Ivy Investment Management Company had shared voting and dispositive power over 424 shares. Macquarie Group Limited is deemed to beneficially own 2,269,273 shares due to its ownership of the entities above. The address of Macquarie Bank Limited is 50 Martin Place, Sydney, New South Wales, Australia. The address of Macquarie Management Holdings Inc. and Macquarie Investment Management Business Trust is 2005 Market Street, Philadelphia, PA 19103. The address of Ivy Investment Management Company is 6301 Glenwood St Overland Park, KS 66202.</w:t>
      </w:r>
    </w:p>
    <w:p>
      <w:pPr>
        <w:spacing w:after="0" w:line="4" w:lineRule="exact"/>
        <w:rPr>
          <w:rFonts w:ascii="Arial" w:cs="Arial" w:eastAsia="Arial" w:hAnsi="Arial"/>
          <w:sz w:val="16"/>
          <w:szCs w:val="16"/>
          <w:color w:val="auto"/>
        </w:rPr>
      </w:pPr>
    </w:p>
    <w:p>
      <w:pPr>
        <w:jc w:val="both"/>
        <w:ind w:left="480" w:hanging="475"/>
        <w:spacing w:after="0" w:line="244" w:lineRule="auto"/>
        <w:tabs>
          <w:tab w:leader="none" w:pos="4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solely on Schedule 13G jointly filed with the SEC on February 3, 2022 by Kayne Anderson Capital Advisors, L.P. and Richard A. Kayne. Kayne Anderson Capital Advisors, L.P. reported beneficial ownership of, as well as shared voting power and shared dispositive power over, 2,065,968 common units. Richard A. Kayne reported beneficial ownership of, as well as shared voting power and shared dispositive power over, 2,065,968 common units. No sole voting power and no sole dispositive power was reported by any filer.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Number of securities to be issued upon</w:t>
            </w: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Weighted-average exercise price</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 remaining</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2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available for future issuance under</w:t>
            </w:r>
          </w:p>
        </w:tc>
        <w:tc>
          <w:tcPr>
            <w:tcW w:w="0" w:type="dxa"/>
            <w:vAlign w:val="bottom"/>
          </w:tcPr>
          <w:p>
            <w:pPr>
              <w:spacing w:after="0"/>
              <w:rPr>
                <w:sz w:val="1"/>
                <w:szCs w:val="1"/>
                <w:color w:val="auto"/>
              </w:rPr>
            </w:pPr>
          </w:p>
        </w:tc>
      </w:tr>
      <w:tr>
        <w:trPr>
          <w:trHeight w:val="158"/>
        </w:trPr>
        <w:tc>
          <w:tcPr>
            <w:tcW w:w="350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Plan Category</w:t>
            </w:r>
          </w:p>
        </w:tc>
        <w:tc>
          <w:tcPr>
            <w:tcW w:w="27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exercise of outstanding options,</w:t>
            </w:r>
          </w:p>
        </w:tc>
        <w:tc>
          <w:tcPr>
            <w:tcW w:w="2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of outstanding options, warrants</w:t>
            </w:r>
          </w:p>
        </w:tc>
        <w:tc>
          <w:tcPr>
            <w:tcW w:w="2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equity compensation plans (excluding</w:t>
            </w:r>
          </w:p>
        </w:tc>
        <w:tc>
          <w:tcPr>
            <w:tcW w:w="0" w:type="dxa"/>
            <w:vAlign w:val="bottom"/>
          </w:tcPr>
          <w:p>
            <w:pPr>
              <w:spacing w:after="0"/>
              <w:rPr>
                <w:sz w:val="1"/>
                <w:szCs w:val="1"/>
                <w:color w:val="auto"/>
              </w:rPr>
            </w:pPr>
          </w:p>
        </w:tc>
      </w:tr>
      <w:tr>
        <w:trPr>
          <w:trHeight w:val="208"/>
        </w:trPr>
        <w:tc>
          <w:tcPr>
            <w:tcW w:w="3500" w:type="dxa"/>
            <w:vAlign w:val="bottom"/>
            <w:tcBorders>
              <w:bottom w:val="single" w:sz="8" w:color="auto"/>
            </w:tcBorders>
            <w:vMerge w:val="continue"/>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warrants and rights (a)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and rights (b)</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securities reflected in column (a)) (c)</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89"/>
              </w:rPr>
              <w:t>Equity compensation plans approved by security</w:t>
            </w:r>
          </w:p>
        </w:tc>
        <w:tc>
          <w:tcPr>
            <w:tcW w:w="27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320" w:type="dxa"/>
            <w:vAlign w:val="bottom"/>
            <w:vMerge w:val="restart"/>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720" w:type="dxa"/>
            <w:vAlign w:val="bottom"/>
            <w:vMerge w:val="continue"/>
            <w:shd w:val="clear" w:color="auto" w:fill="CCEEFF"/>
          </w:tcPr>
          <w:p>
            <w:pPr>
              <w:spacing w:after="0"/>
              <w:rPr>
                <w:sz w:val="19"/>
                <w:szCs w:val="19"/>
                <w:color w:val="auto"/>
              </w:rPr>
            </w:pPr>
          </w:p>
        </w:tc>
        <w:tc>
          <w:tcPr>
            <w:tcW w:w="2320" w:type="dxa"/>
            <w:vAlign w:val="bottom"/>
            <w:vMerge w:val="continue"/>
            <w:shd w:val="clear" w:color="auto" w:fill="CCEEFF"/>
          </w:tcPr>
          <w:p>
            <w:pPr>
              <w:spacing w:after="0"/>
              <w:rPr>
                <w:sz w:val="19"/>
                <w:szCs w:val="19"/>
                <w:color w:val="auto"/>
              </w:rPr>
            </w:pPr>
          </w:p>
        </w:tc>
        <w:tc>
          <w:tcPr>
            <w:tcW w:w="2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line="171" w:lineRule="exact"/>
              <w:rPr>
                <w:sz w:val="20"/>
                <w:szCs w:val="20"/>
                <w:color w:val="auto"/>
              </w:rPr>
            </w:pPr>
            <w:r>
              <w:rPr>
                <w:rFonts w:ascii="Arial" w:cs="Arial" w:eastAsia="Arial" w:hAnsi="Arial"/>
                <w:sz w:val="18"/>
                <w:szCs w:val="18"/>
                <w:color w:val="auto"/>
                <w:w w:val="99"/>
              </w:rPr>
              <w:t>Equity compensation plans not approved by</w:t>
            </w:r>
          </w:p>
        </w:tc>
        <w:tc>
          <w:tcPr>
            <w:tcW w:w="2720" w:type="dxa"/>
            <w:vAlign w:val="bottom"/>
            <w:vMerge w:val="restart"/>
          </w:tcPr>
          <w:p>
            <w:pPr>
              <w:jc w:val="right"/>
              <w:ind w:right="17"/>
              <w:spacing w:after="0"/>
              <w:rPr>
                <w:sz w:val="20"/>
                <w:szCs w:val="20"/>
                <w:color w:val="auto"/>
              </w:rPr>
            </w:pPr>
            <w:r>
              <w:rPr>
                <w:rFonts w:ascii="Arial" w:cs="Arial" w:eastAsia="Arial" w:hAnsi="Arial"/>
                <w:sz w:val="18"/>
                <w:szCs w:val="18"/>
                <w:color w:val="auto"/>
              </w:rPr>
              <w:t>1,737,525</w:t>
            </w:r>
          </w:p>
        </w:tc>
        <w:tc>
          <w:tcPr>
            <w:tcW w:w="2320" w:type="dxa"/>
            <w:vAlign w:val="bottom"/>
            <w:vMerge w:val="restart"/>
          </w:tcPr>
          <w:p>
            <w:pPr>
              <w:ind w:left="2080"/>
              <w:spacing w:after="0"/>
              <w:rPr>
                <w:sz w:val="20"/>
                <w:szCs w:val="20"/>
                <w:color w:val="auto"/>
              </w:rPr>
            </w:pPr>
            <w:r>
              <w:rPr>
                <w:rFonts w:ascii="Arial" w:cs="Arial" w:eastAsia="Arial" w:hAnsi="Arial"/>
                <w:sz w:val="18"/>
                <w:szCs w:val="18"/>
                <w:color w:val="auto"/>
              </w:rPr>
              <w:t>—</w:t>
            </w:r>
          </w:p>
        </w:tc>
        <w:tc>
          <w:tcPr>
            <w:tcW w:w="2660" w:type="dxa"/>
            <w:vAlign w:val="bottom"/>
            <w:vMerge w:val="restart"/>
          </w:tcPr>
          <w:p>
            <w:pPr>
              <w:jc w:val="right"/>
              <w:spacing w:after="0"/>
              <w:rPr>
                <w:sz w:val="20"/>
                <w:szCs w:val="20"/>
                <w:color w:val="auto"/>
              </w:rPr>
            </w:pPr>
            <w:r>
              <w:rPr>
                <w:rFonts w:ascii="Arial" w:cs="Arial" w:eastAsia="Arial" w:hAnsi="Arial"/>
                <w:sz w:val="18"/>
                <w:szCs w:val="18"/>
                <w:color w:val="auto"/>
              </w:rPr>
              <w:t>12,696,146</w:t>
            </w:r>
          </w:p>
        </w:tc>
        <w:tc>
          <w:tcPr>
            <w:tcW w:w="0" w:type="dxa"/>
            <w:vAlign w:val="bottom"/>
          </w:tcPr>
          <w:p>
            <w:pPr>
              <w:spacing w:after="0"/>
              <w:rPr>
                <w:sz w:val="1"/>
                <w:szCs w:val="1"/>
                <w:color w:val="auto"/>
              </w:rPr>
            </w:pPr>
          </w:p>
        </w:tc>
      </w:tr>
      <w:tr>
        <w:trPr>
          <w:trHeight w:val="298"/>
        </w:trPr>
        <w:tc>
          <w:tcPr>
            <w:tcW w:w="3500" w:type="dxa"/>
            <w:vAlign w:val="bottom"/>
          </w:tcPr>
          <w:p>
            <w:pPr>
              <w:ind w:left="20"/>
              <w:spacing w:after="0"/>
              <w:rPr>
                <w:sz w:val="20"/>
                <w:szCs w:val="20"/>
                <w:color w:val="auto"/>
              </w:rPr>
            </w:pPr>
            <w:r>
              <w:rPr>
                <w:rFonts w:ascii="Arial" w:cs="Arial" w:eastAsia="Arial" w:hAnsi="Arial"/>
                <w:sz w:val="18"/>
                <w:szCs w:val="18"/>
                <w:color w:val="auto"/>
              </w:rPr>
              <w:t>security holders</w:t>
            </w:r>
            <w:r>
              <w:rPr>
                <w:rFonts w:ascii="Arial" w:cs="Arial" w:eastAsia="Arial" w:hAnsi="Arial"/>
                <w:sz w:val="22"/>
                <w:szCs w:val="22"/>
                <w:color w:val="auto"/>
                <w:vertAlign w:val="superscript"/>
              </w:rPr>
              <w:t>(1)</w:t>
            </w:r>
          </w:p>
        </w:tc>
        <w:tc>
          <w:tcPr>
            <w:tcW w:w="272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2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80" w:hanging="475"/>
        <w:spacing w:after="0" w:line="262" w:lineRule="auto"/>
        <w:tabs>
          <w:tab w:leader="none" w:pos="474" w:val="left"/>
        </w:tabs>
        <w:numPr>
          <w:ilvl w:val="0"/>
          <w:numId w:val="25"/>
        </w:numPr>
        <w:rPr>
          <w:rFonts w:ascii="Arial" w:cs="Arial" w:eastAsia="Arial" w:hAnsi="Arial"/>
          <w:sz w:val="18"/>
          <w:szCs w:val="18"/>
          <w:color w:val="0000FF"/>
        </w:rPr>
      </w:pPr>
      <w:hyperlink w:anchor="page53">
        <w:r>
          <w:rPr>
            <w:rFonts w:ascii="Arial" w:cs="Arial" w:eastAsia="Arial" w:hAnsi="Arial"/>
            <w:sz w:val="18"/>
            <w:szCs w:val="18"/>
            <w:color w:val="auto"/>
          </w:rPr>
          <w:t>This information relates to our LTIP, which our General Partner adopted at the closing of the IPO in May 2019. See “</w:t>
        </w:r>
        <w:r>
          <w:rPr>
            <w:rFonts w:ascii="Arial" w:cs="Arial" w:eastAsia="Arial" w:hAnsi="Arial"/>
            <w:sz w:val="18"/>
            <w:szCs w:val="18"/>
            <w:u w:val="single" w:color="auto"/>
            <w:color w:val="0000FF"/>
          </w:rPr>
          <w:t>Item 11. Executive Compensation–</w:t>
        </w:r>
      </w:hyperlink>
      <w:r>
        <w:rPr>
          <w:rFonts w:ascii="Arial" w:cs="Arial" w:eastAsia="Arial" w:hAnsi="Arial"/>
          <w:sz w:val="18"/>
          <w:szCs w:val="18"/>
          <w:color w:val="auto"/>
        </w:rPr>
        <w:t xml:space="preserve"> </w:t>
      </w:r>
      <w:hyperlink w:anchor="page53">
        <w:r>
          <w:rPr>
            <w:rFonts w:ascii="Arial" w:cs="Arial" w:eastAsia="Arial" w:hAnsi="Arial"/>
            <w:sz w:val="18"/>
            <w:szCs w:val="18"/>
            <w:u w:val="single" w:color="auto"/>
            <w:color w:val="0000FF"/>
          </w:rPr>
          <w:t>Long-Term Incentive Plan</w:t>
        </w:r>
        <w:r>
          <w:rPr>
            <w:rFonts w:ascii="Arial" w:cs="Arial" w:eastAsia="Arial" w:hAnsi="Arial"/>
            <w:sz w:val="18"/>
            <w:szCs w:val="18"/>
            <w:color w:val="0000FF"/>
          </w:rPr>
          <w:t xml:space="preserve"> </w:t>
        </w:r>
        <w:r>
          <w:rPr>
            <w:rFonts w:ascii="Arial" w:cs="Arial" w:eastAsia="Arial" w:hAnsi="Arial"/>
            <w:sz w:val="18"/>
            <w:szCs w:val="18"/>
            <w:color w:val="000000"/>
          </w:rPr>
          <w:t>included elsewhere in this Annual Report for a description of the LTIP.</w:t>
        </w:r>
      </w:hyperlink>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4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20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following sets forth information with respect to the treatment of the unvested equity awards, which were granted to the executive officers of our General Partner and were outstanding as of December 31, 2021 under the LTIP, in connection with certain termination events, including a termination related to a change of control of Rattler or Diamondback.</w:t>
      </w:r>
    </w:p>
    <w:p>
      <w:pPr>
        <w:spacing w:after="0" w:line="16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Under the terms of Mr. Stice’s phantom unit awards made to Mr. Stice under the LTIP, all unvested phantom unit awards granted to Mr. Stice will accelerate and immediately vest in the following circumstances: (i) upon the change of control of Rattler or Diamondback, provided that Diamondback is the sole General Partner of Rattler, (ii) Mr. Stice’s termination without cause, (iii) Mr. Stice’s resignation for good reason, or (iv) Mr. Stice’s death or disability. As of December 31, 2021, Mr. Stice held 68,572 unvested phantom units granted under the LTIP, all which are scheduled to vest in three equal installments beginning on May 28, 2022, and had a value of $780,349 as of December 31, 2021.</w:t>
      </w:r>
    </w:p>
    <w:p>
      <w:pPr>
        <w:spacing w:after="0" w:line="125" w:lineRule="exact"/>
        <w:rPr>
          <w:sz w:val="20"/>
          <w:szCs w:val="20"/>
          <w:color w:val="auto"/>
        </w:rPr>
      </w:pPr>
    </w:p>
    <w:p>
      <w:pPr>
        <w:jc w:val="both"/>
        <w:ind w:firstLine="632"/>
        <w:spacing w:after="0" w:line="303" w:lineRule="auto"/>
        <w:rPr>
          <w:sz w:val="20"/>
          <w:szCs w:val="20"/>
          <w:color w:val="auto"/>
        </w:rPr>
      </w:pPr>
      <w:r>
        <w:rPr>
          <w:rFonts w:ascii="Arial" w:cs="Arial" w:eastAsia="Arial" w:hAnsi="Arial"/>
          <w:sz w:val="15"/>
          <w:szCs w:val="15"/>
          <w:color w:val="auto"/>
        </w:rPr>
        <w:t>Under the terms of Mr. Van’t Hof’s, Ms. Dick’s and Mr. Zmigrosky’s phantom unit awards made to these executive officers of our General Partner under the LTIP, all of their unvested phantom unit awards will accelerate and immediately vest upon the change of control of Rattler or Diamondback, provided that Diamondback is the sole General Partner of Rattler, or upon such executive officer’s death or disability. As of December 31, 2021, Mr. Van’t Hof held 685,715 unvested phantom units granted under the LTIP, all of which are scheduled to vest in three equal annual installments beginning on May 28, 2022, and had a value of $7,803,437 as of December 31, 2021; Ms. Dick held 34,286 unvested phantom units granted under the LTIP, all of which are scheduled to vest in three equal annual installments beginning on May 28, 2022, and had a value of $390,175 as of December 31, 2021; and Mr. Zmigrosky held 13,715 unvested phantom units granted under the LTIP, all of which are scheduled to vest in three equal annual installments beginning on May 28, 2022, and had an aggregate value of $156,077 as of December 31, 2021. No other executive officers of our General Partner held equity awards under the LTIP as of December 31, 2021.</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Transactions with Affiliates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certain agreements and transactions with Diamondback and its affiliates.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241"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Partnership derives substantially all of its revenue from its commercial agreements with Diamondback for the provision of midstream services. Under the crude oil gathering agreement, we receive a volumetric fee per Bbl for gathering, transporting and delivering crude oil produced by Diamondback within the Acreage Dedications. Under the natural gas gathering agreement, we receive a volumetric fee per MMBtu for gathering, compressing, transporting and delivering all natural gas produced by Diamondback within the Acreage Dedications. Under the produced gathering and disposal agreement, we receive a volumetric fee per Bbl for gathering, transporting and disposing all produced water generated from operating crude oil and natural gas wells within the Acreage Dedications. Under the sourced water gathering agreement, we receive a volumetric fee per Bbl for sourcing, transporting and delivering all raw sourced water and recycled sourced water required by Diamondback to carry out its oil and natural gas activities within the Acreage Dedications. On December 1, 2021, the Partnership further amended its commercial agreements covering produced water gathering and disposal and sourced water gathering services to add certain Diamondback leasehold acreage to the Rattler dedication.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Fasken Center Agreement</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this agreement, Diamondback leases from us certain office space located within the Fasken Center in Midland, Texas.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41" w:lineRule="exact"/>
        <w:rPr>
          <w:sz w:val="20"/>
          <w:szCs w:val="20"/>
          <w:color w:val="auto"/>
        </w:rPr>
      </w:pPr>
    </w:p>
    <w:p>
      <w:pPr>
        <w:jc w:val="both"/>
        <w:ind w:firstLine="632"/>
        <w:spacing w:after="0" w:line="283" w:lineRule="auto"/>
        <w:rPr>
          <w:rFonts w:ascii="Arial" w:cs="Arial" w:eastAsia="Arial" w:hAnsi="Arial"/>
          <w:sz w:val="16"/>
          <w:szCs w:val="16"/>
          <w:color w:val="0000FF"/>
        </w:rPr>
      </w:pPr>
      <w:r>
        <w:rPr>
          <w:rFonts w:ascii="Arial" w:cs="Arial" w:eastAsia="Arial" w:hAnsi="Arial"/>
          <w:sz w:val="16"/>
          <w:szCs w:val="16"/>
          <w:color w:val="auto"/>
        </w:rPr>
        <w:t xml:space="preserve">Under this agreement, the Partnership reimburses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limit the amount of expenses for which the General Partner and its affiliates may be reimbursed. These expenses include salary, bonus, incentive compensation and other amounts paid to persons who perform services for the Partnership or on its behalf and expenses allocated to the </w:t>
      </w:r>
      <w:hyperlink w:anchor="page49">
        <w:r>
          <w:rPr>
            <w:rFonts w:ascii="Arial" w:cs="Arial" w:eastAsia="Arial" w:hAnsi="Arial"/>
            <w:sz w:val="16"/>
            <w:szCs w:val="16"/>
            <w:color w:val="auto"/>
          </w:rPr>
          <w:t>General Partner by its affiliates. The General Partner is entitled to determine the expenses that are allocable to the Partnership. See “</w:t>
        </w:r>
        <w:r>
          <w:rPr>
            <w:rFonts w:ascii="Arial" w:cs="Arial" w:eastAsia="Arial" w:hAnsi="Arial"/>
            <w:sz w:val="16"/>
            <w:szCs w:val="16"/>
            <w:u w:val="single" w:color="auto"/>
            <w:color w:val="0000FF"/>
          </w:rPr>
          <w:t>Item 10—Directors,</w:t>
        </w:r>
      </w:hyperlink>
      <w:r>
        <w:rPr>
          <w:rFonts w:ascii="Arial" w:cs="Arial" w:eastAsia="Arial" w:hAnsi="Arial"/>
          <w:sz w:val="16"/>
          <w:szCs w:val="16"/>
          <w:color w:val="auto"/>
        </w:rPr>
        <w:t xml:space="preserve"> </w:t>
      </w:r>
      <w:hyperlink w:anchor="page49">
        <w:r>
          <w:rPr>
            <w:rFonts w:ascii="Arial" w:cs="Arial" w:eastAsia="Arial" w:hAnsi="Arial"/>
            <w:sz w:val="16"/>
            <w:szCs w:val="16"/>
            <w:u w:val="single" w:color="auto"/>
            <w:color w:val="0000FF"/>
          </w:rPr>
          <w:t>Executive Officers and Corporate Governance—Reimbursement of Expenses of our General Partner</w:t>
        </w:r>
        <w:r>
          <w:rPr>
            <w:rFonts w:ascii="Arial" w:cs="Arial" w:eastAsia="Arial" w:hAnsi="Arial"/>
            <w:sz w:val="16"/>
            <w:szCs w:val="16"/>
            <w:color w:val="000000"/>
          </w:rPr>
          <w:t>” included elsewhere in this Annual Report for more</w:t>
        </w:r>
      </w:hyperlink>
      <w:r>
        <w:rPr>
          <w:rFonts w:ascii="Arial" w:cs="Arial" w:eastAsia="Arial" w:hAnsi="Arial"/>
          <w:sz w:val="16"/>
          <w:szCs w:val="16"/>
          <w:color w:val="0000FF"/>
        </w:rPr>
        <w:t xml:space="preserve"> </w:t>
      </w:r>
      <w:r>
        <w:rPr>
          <w:rFonts w:ascii="Arial" w:cs="Arial" w:eastAsia="Arial" w:hAnsi="Arial"/>
          <w:sz w:val="16"/>
          <w:szCs w:val="16"/>
          <w:color w:val="000000"/>
        </w:rPr>
        <w:t>details regarding the reimbursement provisions of our partnership agreement.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241"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As amended on December 22, 2021, the Holding Company was added as a party to the services and secondment agreement to support the Holding Company’s role as the managing member of the Operating Company. Under this agreement, Diamondback seconds certain operational, construction, design and management employees and contractors of Diamondback to our General Partner, us and our subsidiaries, or, collectively, the partnership parties, to provide management, maintenance and operational functions with respect to our assets. During their period of secondment, the seconded employees are under the direct management, supervision and control of Diamondback and its subsidiaries (other than the partnership parties) with respect to the provision of services to the partnership parties.</w:t>
      </w:r>
    </w:p>
    <w:p>
      <w:pPr>
        <w:spacing w:after="0" w:line="224"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partnership parties reimburse Diamondback for the cost of the seconded employees and contractors, including their wages and benefits. If a seconded employee or contractor performs services for both Diamondback and its subsidiaries (other than the partnership parties) and the partnership parties, the partnership parties only reimburse Diamondback for a prorated portion of such employee’s overall wages and benefits or the costs associated with such contractor, in each case based on the percentage of the employee’s or contractor’s time spent working for the partnership parties, as determined in good faith by Diamondback and its subsidiaries (other than the partnership parties) and the partnership parties. The partnership parties will reimburse Diamondback on a monthly basis or at other intervals that Diamondback and the General Partner may agree from time to time. The size of the reimbursement to Diamondback varies with the size and scale of our operations, among other factors.</w:t>
      </w:r>
    </w:p>
    <w:p>
      <w:pPr>
        <w:spacing w:after="0" w:line="194"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services and secondment agreement has an initial term of 15 years and automatically extends for successive extension terms of one year each, unless terminated by either party upon at least 30 days’ prior written notice before the end of the initial term or any extension term. In addition, the partnership parties may terminate the agreement in whole at any time upon written notice stating the date of termination or terminate any particular service provided to the partnership parties by a seconded employee or contractor under the agreement at any time upon 30 days’ prior written notice.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Distributions paid to Diamondback</w:t>
      </w:r>
    </w:p>
    <w:p>
      <w:pPr>
        <w:spacing w:after="0" w:line="241" w:lineRule="exact"/>
        <w:rPr>
          <w:sz w:val="20"/>
          <w:szCs w:val="20"/>
          <w:color w:val="auto"/>
        </w:rPr>
      </w:pPr>
    </w:p>
    <w:p>
      <w:pPr>
        <w:jc w:val="both"/>
        <w:ind w:firstLine="632"/>
        <w:spacing w:after="0" w:line="274" w:lineRule="auto"/>
        <w:rPr>
          <w:sz w:val="20"/>
          <w:szCs w:val="20"/>
          <w:color w:val="auto"/>
        </w:rPr>
      </w:pPr>
      <w:r>
        <w:rPr>
          <w:rFonts w:ascii="Arial" w:cs="Arial" w:eastAsia="Arial" w:hAnsi="Arial"/>
          <w:sz w:val="16"/>
          <w:szCs w:val="16"/>
          <w:color w:val="auto"/>
        </w:rPr>
        <w:t>Diamondback is entitled to receive its pro rata portion of the distributions the Operating Company makes in respect of the Operating Company units. However, Diamondback is not entitled to receive cash distributions on our Class B units that it beneficially owns, except to the extent of the cash preferred distributions equal to 8% per annum payable quarterly on the $1.0 million capital contribution it made to us. During the year ended December 31, 2021, Diamondback received distributions from the Operating Company in the aggregate amount of $97.1 million.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Under this agreement, the Operating Company reimburses Diamondback for our share of state and local income and other taxes for which the Operating Company’s results are included in a combined or consolidated tax return filed by Diamondback. The amount of any such reimbursement is limited to the tax that the Operating Company would have paid had it not been included in a combined group with Diamondback. Diamondback may use its tax attributes to cause its combined or consolidated group, of which the Operating Company may be a member for this purpose, to owe less or no tax. In such a situation, the Operating Company agreed to nevertheless reimburse Diamondback for the tax the Operating Company would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have owed had the attributes not been available or used for its benefit, even though Diamondback had no cash tax expense for that period.</w:t>
      </w:r>
    </w:p>
    <w:p>
      <w:pPr>
        <w:spacing w:after="0" w:line="241" w:lineRule="exact"/>
        <w:rPr>
          <w:sz w:val="20"/>
          <w:szCs w:val="20"/>
          <w:color w:val="auto"/>
        </w:rPr>
      </w:pPr>
    </w:p>
    <w:p>
      <w:pPr>
        <w:ind w:right="780" w:firstLine="632"/>
        <w:spacing w:after="0" w:line="262" w:lineRule="auto"/>
        <w:rPr>
          <w:sz w:val="20"/>
          <w:szCs w:val="20"/>
          <w:color w:val="auto"/>
        </w:rPr>
      </w:pPr>
      <w:r>
        <w:rPr>
          <w:rFonts w:ascii="Arial" w:cs="Arial" w:eastAsia="Arial" w:hAnsi="Arial"/>
          <w:sz w:val="18"/>
          <w:szCs w:val="18"/>
          <w:color w:val="auto"/>
        </w:rPr>
        <w:t>The following table presents the Partnership’s revenues generated or expenses incurred under these agreements or through transactions with Diamondback during the year ended December 31, 2021.</w:t>
      </w:r>
    </w:p>
    <w:tbl>
      <w:tblPr>
        <w:tblLayout w:type="fixed"/>
        <w:tblInd w:w="0" w:type="dxa"/>
        <w:tblCellMar>
          <w:top w:w="0" w:type="dxa"/>
          <w:left w:w="0" w:type="dxa"/>
          <w:bottom w:w="0" w:type="dxa"/>
          <w:right w:w="0" w:type="dxa"/>
        </w:tblCellMar>
      </w:tblPr>
      <w:tr>
        <w:trPr>
          <w:trHeight w:val="166"/>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ind w:right="14"/>
              <w:spacing w:after="0" w:line="167" w:lineRule="exact"/>
              <w:rPr>
                <w:sz w:val="20"/>
                <w:szCs w:val="20"/>
                <w:color w:val="auto"/>
              </w:rPr>
            </w:pPr>
            <w:r>
              <w:rPr>
                <w:rFonts w:ascii="Arial" w:cs="Arial" w:eastAsia="Arial" w:hAnsi="Arial"/>
                <w:sz w:val="16"/>
                <w:szCs w:val="16"/>
                <w:b w:val="1"/>
                <w:bCs w:val="1"/>
                <w:color w:val="auto"/>
                <w:w w:val="88"/>
              </w:rPr>
              <w:t>Year Ended December 31,</w:t>
            </w:r>
          </w:p>
        </w:tc>
      </w:tr>
      <w:tr>
        <w:trPr>
          <w:trHeight w:val="208"/>
        </w:trPr>
        <w:tc>
          <w:tcPr>
            <w:tcW w:w="9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4"/>
              </w:rPr>
              <w:t>2021</w:t>
            </w:r>
          </w:p>
        </w:tc>
      </w:tr>
      <w:tr>
        <w:trPr>
          <w:trHeight w:val="204"/>
        </w:trPr>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ind w:right="14"/>
              <w:spacing w:after="0"/>
              <w:rPr>
                <w:sz w:val="20"/>
                <w:szCs w:val="20"/>
                <w:color w:val="auto"/>
              </w:rPr>
            </w:pPr>
            <w:r>
              <w:rPr>
                <w:rFonts w:ascii="Arial" w:cs="Arial" w:eastAsia="Arial" w:hAnsi="Arial"/>
                <w:sz w:val="16"/>
                <w:szCs w:val="16"/>
                <w:b w:val="1"/>
                <w:bCs w:val="1"/>
                <w:color w:val="auto"/>
                <w:w w:val="88"/>
              </w:rPr>
              <w:t>(In thousands)</w:t>
            </w:r>
          </w:p>
        </w:tc>
      </w:tr>
      <w:tr>
        <w:trPr>
          <w:trHeight w:val="214"/>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Generated under Agreements and Transactions with Affiliates</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Produced water gathering and disposal commercial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263,833</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gathering commercial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65,503</w:t>
            </w: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Natural gas gathering commercial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18,827</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gathering commercial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Surface revenue transactions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Fasken Center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r>
      <w:tr>
        <w:trPr>
          <w:trHeight w:val="208"/>
        </w:trPr>
        <w:tc>
          <w:tcPr>
            <w:tcW w:w="9260" w:type="dxa"/>
            <w:vAlign w:val="bottom"/>
          </w:tcPr>
          <w:p>
            <w:pPr>
              <w:ind w:left="20"/>
              <w:spacing w:after="0"/>
              <w:rPr>
                <w:sz w:val="20"/>
                <w:szCs w:val="20"/>
                <w:color w:val="auto"/>
              </w:rPr>
            </w:pPr>
            <w:r>
              <w:rPr>
                <w:rFonts w:ascii="Arial" w:cs="Arial" w:eastAsia="Arial" w:hAnsi="Arial"/>
                <w:sz w:val="16"/>
                <w:szCs w:val="16"/>
                <w:b w:val="1"/>
                <w:bCs w:val="1"/>
                <w:color w:val="auto"/>
              </w:rPr>
              <w:t>Expenses Incurred under Agreements with Affiliates</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secondment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r>
      <w:tr>
        <w:trPr>
          <w:trHeight w:val="224"/>
        </w:trPr>
        <w:tc>
          <w:tcPr>
            <w:tcW w:w="9260" w:type="dxa"/>
            <w:vAlign w:val="bottom"/>
          </w:tcPr>
          <w:p>
            <w:pPr>
              <w:ind w:left="20"/>
              <w:spacing w:after="0"/>
              <w:rPr>
                <w:sz w:val="20"/>
                <w:szCs w:val="20"/>
                <w:color w:val="auto"/>
              </w:rPr>
            </w:pPr>
            <w:r>
              <w:rPr>
                <w:rFonts w:ascii="Arial" w:cs="Arial" w:eastAsia="Arial" w:hAnsi="Arial"/>
                <w:sz w:val="18"/>
                <w:szCs w:val="18"/>
                <w:color w:val="auto"/>
              </w:rPr>
              <w:t>Partnership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sharing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Related Person Transactions</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board of directors of our General Partner adopted policies for the review, approval and ratification of transactions with related persons. Under our Code of Ethics, a director is expected to bring to the attention of the chief executive officer or the board of directors of our General Partner any conflict or potential conflict of interest that may arise between the director or any affiliate of the director, on the one hand, and us or our General Partner on the other. The resolution of any such conflict or potential conflict should, at the discretion of the board of directors of our General Partner in light of the circumstances, be determined by a majority of the disinterested directors.</w:t>
      </w:r>
    </w:p>
    <w:p>
      <w:pPr>
        <w:spacing w:after="0" w:line="22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If a conflict or potential conflict of interest arises between our General Partner or its affiliates, on the one hand, and us or our common unitholders, on the other hand, the resolution of any such conflict or potential conflict should be addressed by the board of directors of our General Partner in accordance with the provisions of our partnership agreement. At the discretion of the board of directors of our General Partner in light of the circumstances, the resolution may be determined by the board of directors of our General Partner in its entirety or by a conflicts committee meeting the definitional requirements for such a committee under our partnership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our Code of Ethics, any executive officer is required to avoid conflicts of interest unless approved by the board of directors of our 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2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Our Code of Ethics described above was adopted at the closing of our IPO, and as a result, the transactions described above were not reviewed according to such procedures.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47" w:lineRule="exact"/>
        <w:rPr>
          <w:sz w:val="20"/>
          <w:szCs w:val="20"/>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The information required by Item 407(a) of Regulation S-K is included in “</w:t>
      </w:r>
      <w:hyperlink w:anchor="page49">
        <w:r>
          <w:rPr>
            <w:rFonts w:ascii="Arial" w:cs="Arial" w:eastAsia="Arial" w:hAnsi="Arial"/>
            <w:sz w:val="16"/>
            <w:szCs w:val="16"/>
            <w:u w:val="single" w:color="auto"/>
            <w:color w:val="0000FF"/>
          </w:rPr>
          <w:t>Item 10. Directors, Executive Officers and Corporate Governance</w:t>
        </w:r>
      </w:hyperlink>
      <w:r>
        <w:rPr>
          <w:rFonts w:ascii="Arial" w:cs="Arial" w:eastAsia="Arial" w:hAnsi="Arial"/>
          <w:sz w:val="16"/>
          <w:szCs w:val="16"/>
          <w:color w:val="auto"/>
        </w:rPr>
        <w:t>” above.</w:t>
      </w:r>
    </w:p>
    <w:p>
      <w:pPr>
        <w:spacing w:after="0" w:line="2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2021 and 2020.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2021 and 2020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aggregate Grant Thornton LLP fees that were allocated to us for independent auditing, tax and related services: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04"/>
        </w:trPr>
        <w:tc>
          <w:tcPr>
            <w:tcW w:w="8000" w:type="dxa"/>
            <w:vAlign w:val="bottom"/>
          </w:tcPr>
          <w:p>
            <w:pPr>
              <w:spacing w:after="0"/>
              <w:rPr>
                <w:sz w:val="17"/>
                <w:szCs w:val="17"/>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r>
      <w:tr>
        <w:trPr>
          <w:trHeight w:val="204"/>
        </w:trPr>
        <w:tc>
          <w:tcPr>
            <w:tcW w:w="8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3"/>
          </w:tcPr>
          <w:p>
            <w:pPr>
              <w:jc w:val="right"/>
              <w:ind w:right="555"/>
              <w:spacing w:after="0"/>
              <w:rPr>
                <w:sz w:val="20"/>
                <w:szCs w:val="20"/>
                <w:color w:val="auto"/>
              </w:rPr>
            </w:pPr>
            <w:r>
              <w:rPr>
                <w:rFonts w:ascii="Arial" w:cs="Arial" w:eastAsia="Arial" w:hAnsi="Arial"/>
                <w:sz w:val="16"/>
                <w:szCs w:val="16"/>
                <w:b w:val="1"/>
                <w:bCs w:val="1"/>
                <w:color w:val="auto"/>
                <w:w w:val="96"/>
              </w:rPr>
              <w:t>(In thousands)</w:t>
            </w:r>
          </w:p>
        </w:tc>
        <w:tc>
          <w:tcPr>
            <w:tcW w:w="480" w:type="dxa"/>
            <w:vAlign w:val="bottom"/>
          </w:tcPr>
          <w:p>
            <w:pPr>
              <w:spacing w:after="0"/>
              <w:rPr>
                <w:sz w:val="17"/>
                <w:szCs w:val="17"/>
                <w:color w:val="auto"/>
              </w:rPr>
            </w:pPr>
          </w:p>
        </w:tc>
      </w:tr>
      <w:tr>
        <w:trPr>
          <w:trHeight w:val="227"/>
        </w:trPr>
        <w:tc>
          <w:tcPr>
            <w:tcW w:w="8000" w:type="dxa"/>
            <w:vAlign w:val="bottom"/>
            <w:shd w:val="clear" w:color="auto" w:fill="CCEEFF"/>
          </w:tcPr>
          <w:p>
            <w:pPr>
              <w:ind w:left="20"/>
              <w:spacing w:after="0" w:line="22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4"/>
        </w:trPr>
        <w:tc>
          <w:tcPr>
            <w:tcW w:w="8000" w:type="dxa"/>
            <w:vAlign w:val="bottom"/>
          </w:tcPr>
          <w:p>
            <w:pPr>
              <w:ind w:left="20"/>
              <w:spacing w:after="0" w:line="2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0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4"/>
        </w:trPr>
        <w:tc>
          <w:tcPr>
            <w:tcW w:w="80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000" w:type="dxa"/>
            <w:vAlign w:val="bottom"/>
          </w:tcPr>
          <w:p>
            <w:pPr>
              <w:ind w:left="20"/>
              <w:spacing w:after="0" w:line="224"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0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8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320" w:hanging="315"/>
        <w:spacing w:after="0" w:line="251"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represent amounts billed in each of the years presented for assurance and related services that are reasonably related to the performance of the annual audit or quarterly reviews.</w:t>
      </w:r>
    </w:p>
    <w:p>
      <w:pPr>
        <w:ind w:left="320" w:hanging="315"/>
        <w:spacing w:after="0" w:line="293" w:lineRule="auto"/>
        <w:tabs>
          <w:tab w:leader="none" w:pos="314"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Audit-related fees represent amounts billed for each of the periods presented for professional services rendered in connection with those services normally provided in connection with statutory and regulatory filings or engagements including comfort letters, consents and other services related to SEC matters.</w:t>
      </w:r>
    </w:p>
    <w:p>
      <w:pPr>
        <w:ind w:left="320" w:hanging="315"/>
        <w:spacing w:after="0" w:line="244"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20" w:hanging="315"/>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gridSpan w:val="10"/>
          </w:tcPr>
          <w:p>
            <w:pPr>
              <w:ind w:left="540"/>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r>
      <w:tr>
        <w:trPr>
          <w:trHeight w:val="448"/>
        </w:trPr>
        <w:tc>
          <w:tcPr>
            <w:tcW w:w="10300" w:type="dxa"/>
            <w:vAlign w:val="bottom"/>
            <w:gridSpan w:val="2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580"/>
        </w:trPr>
        <w:tc>
          <w:tcPr>
            <w:tcW w:w="10300" w:type="dxa"/>
            <w:vAlign w:val="bottom"/>
            <w:gridSpan w:val="21"/>
          </w:tcPr>
          <w:p>
            <w:pPr>
              <w:ind w:left="20"/>
              <w:spacing w:after="0"/>
              <w:rPr>
                <w:sz w:val="20"/>
                <w:szCs w:val="20"/>
                <w:color w:val="auto"/>
              </w:rPr>
            </w:pPr>
            <w:r>
              <w:rPr>
                <w:rFonts w:ascii="Arial" w:cs="Arial" w:eastAsia="Arial" w:hAnsi="Arial"/>
                <w:sz w:val="18"/>
                <w:szCs w:val="18"/>
                <w:color w:val="auto"/>
              </w:rPr>
              <w:t>(a)  Documents included in this report: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224"/>
        </w:trPr>
        <w:tc>
          <w:tcPr>
            <w:tcW w:w="10300" w:type="dxa"/>
            <w:vAlign w:val="bottom"/>
            <w:gridSpan w:val="21"/>
            <w:shd w:val="clear" w:color="auto" w:fill="CCEEFF"/>
          </w:tcPr>
          <w:p>
            <w:pPr>
              <w:ind w:left="420"/>
              <w:spacing w:after="0"/>
              <w:rPr>
                <w:sz w:val="20"/>
                <w:szCs w:val="20"/>
                <w:color w:val="auto"/>
              </w:rPr>
            </w:pPr>
            <w:r>
              <w:rPr>
                <w:rFonts w:ascii="Arial" w:cs="Arial" w:eastAsia="Arial" w:hAnsi="Arial"/>
                <w:sz w:val="18"/>
                <w:szCs w:val="18"/>
                <w:i w:val="1"/>
                <w:iCs w:val="1"/>
                <w:color w:val="auto"/>
              </w:rPr>
              <w:t>1. Financial Statements</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shd w:val="clear" w:color="auto" w:fill="CCEEFF"/>
          </w:tcPr>
          <w:p>
            <w:pPr>
              <w:spacing w:after="0"/>
              <w:rPr>
                <w:sz w:val="19"/>
                <w:szCs w:val="19"/>
                <w:color w:val="auto"/>
              </w:rPr>
            </w:pPr>
          </w:p>
        </w:tc>
      </w:tr>
      <w:tr>
        <w:trPr>
          <w:trHeight w:val="184"/>
        </w:trPr>
        <w:tc>
          <w:tcPr>
            <w:tcW w:w="10300" w:type="dxa"/>
            <w:vAlign w:val="bottom"/>
            <w:gridSpan w:val="21"/>
          </w:tcPr>
          <w:p>
            <w:pPr>
              <w:ind w:left="540"/>
              <w:spacing w:after="0" w:line="184" w:lineRule="exact"/>
              <w:rPr>
                <w:rFonts w:ascii="Arial" w:cs="Arial" w:eastAsia="Arial" w:hAnsi="Arial"/>
                <w:sz w:val="18"/>
                <w:szCs w:val="18"/>
                <w:color w:val="0000FF"/>
              </w:rPr>
            </w:pPr>
            <w:hyperlink w:anchor="page68">
              <w:r>
                <w:rPr>
                  <w:rFonts w:ascii="Arial" w:cs="Arial" w:eastAsia="Arial" w:hAnsi="Arial"/>
                  <w:sz w:val="18"/>
                  <w:szCs w:val="18"/>
                  <w:color w:val="0000FF"/>
                </w:rPr>
                <w:t xml:space="preserve">Report of Independent Registered Public Accounting Firm (PCAOB ID Number </w:t>
              </w:r>
            </w:hyperlink>
            <w:r>
              <w:rPr>
                <w:rFonts w:ascii="Arial" w:cs="Arial" w:eastAsia="Arial" w:hAnsi="Arial"/>
                <w:sz w:val="18"/>
                <w:szCs w:val="18"/>
                <w:color w:val="3051F2"/>
              </w:rPr>
              <w:t>248</w:t>
            </w:r>
            <w:hyperlink w:anchor="page68">
              <w:r>
                <w:rPr>
                  <w:rFonts w:ascii="Arial" w:cs="Arial" w:eastAsia="Arial" w:hAnsi="Arial"/>
                  <w:sz w:val="18"/>
                  <w:szCs w:val="18"/>
                  <w:u w:val="single" w:color="auto"/>
                  <w:color w:val="0000FF"/>
                </w:rPr>
                <w:t>)</w:t>
              </w:r>
            </w:hyperlink>
          </w:p>
        </w:tc>
        <w:tc>
          <w:tcPr>
            <w:tcW w:w="940" w:type="dxa"/>
            <w:vAlign w:val="bottom"/>
            <w:gridSpan w:val="8"/>
          </w:tcPr>
          <w:p>
            <w:pPr>
              <w:ind w:left="380"/>
              <w:spacing w:after="0" w:line="184" w:lineRule="exact"/>
              <w:rPr>
                <w:rFonts w:ascii="Arial" w:cs="Arial" w:eastAsia="Arial" w:hAnsi="Arial"/>
                <w:sz w:val="18"/>
                <w:szCs w:val="18"/>
                <w:color w:val="3051F2"/>
              </w:rPr>
            </w:pPr>
            <w:r>
              <w:rPr>
                <w:rFonts w:ascii="Arial" w:cs="Arial" w:eastAsia="Arial" w:hAnsi="Arial"/>
                <w:sz w:val="18"/>
                <w:szCs w:val="18"/>
                <w:color w:val="3051F2"/>
              </w:rPr>
              <w:t>F-</w:t>
            </w:r>
            <w:hyperlink w:anchor="page68">
              <w:r>
                <w:rPr>
                  <w:rFonts w:ascii="Arial" w:cs="Arial" w:eastAsia="Arial" w:hAnsi="Arial"/>
                  <w:sz w:val="18"/>
                  <w:szCs w:val="18"/>
                  <w:color w:val="0000FF"/>
                </w:rPr>
                <w:t>1</w:t>
              </w:r>
            </w:hyperlink>
          </w:p>
        </w:tc>
      </w:tr>
      <w:tr>
        <w:trPr>
          <w:trHeight w:val="30"/>
        </w:trPr>
        <w:tc>
          <w:tcPr>
            <w:tcW w:w="5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60" w:type="dxa"/>
            <w:vAlign w:val="bottom"/>
            <w:shd w:val="clear" w:color="auto" w:fill="3051F2"/>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94"/>
        </w:trPr>
        <w:tc>
          <w:tcPr>
            <w:tcW w:w="10300" w:type="dxa"/>
            <w:vAlign w:val="bottom"/>
            <w:gridSpan w:val="21"/>
            <w:shd w:val="clear" w:color="auto" w:fill="CCEEFF"/>
          </w:tcPr>
          <w:p>
            <w:pPr>
              <w:ind w:left="540"/>
              <w:spacing w:after="0" w:line="195"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Balance Sheets</w:t>
              </w:r>
            </w:hyperlink>
          </w:p>
        </w:tc>
        <w:tc>
          <w:tcPr>
            <w:tcW w:w="940" w:type="dxa"/>
            <w:vAlign w:val="bottom"/>
            <w:gridSpan w:val="8"/>
            <w:shd w:val="clear" w:color="auto" w:fill="CCEEFF"/>
          </w:tcPr>
          <w:p>
            <w:pPr>
              <w:ind w:left="380"/>
              <w:spacing w:after="0" w:line="195" w:lineRule="exact"/>
              <w:rPr>
                <w:rFonts w:ascii="Arial" w:cs="Arial" w:eastAsia="Arial" w:hAnsi="Arial"/>
                <w:sz w:val="18"/>
                <w:szCs w:val="18"/>
                <w:color w:val="3051F2"/>
              </w:rPr>
            </w:pPr>
            <w:r>
              <w:rPr>
                <w:rFonts w:ascii="Arial" w:cs="Arial" w:eastAsia="Arial" w:hAnsi="Arial"/>
                <w:sz w:val="18"/>
                <w:szCs w:val="18"/>
                <w:color w:val="3051F2"/>
              </w:rPr>
              <w:t>F-</w:t>
            </w:r>
            <w:hyperlink w:anchor="page70">
              <w:r>
                <w:rPr>
                  <w:rFonts w:ascii="Arial" w:cs="Arial" w:eastAsia="Arial" w:hAnsi="Arial"/>
                  <w:sz w:val="18"/>
                  <w:szCs w:val="18"/>
                  <w:color w:val="0000FF"/>
                </w:rPr>
                <w:t>2</w:t>
              </w:r>
            </w:hyperlink>
          </w:p>
        </w:tc>
      </w:tr>
      <w:tr>
        <w:trPr>
          <w:trHeight w:val="40"/>
        </w:trPr>
        <w:tc>
          <w:tcPr>
            <w:tcW w:w="54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r>
      <w:tr>
        <w:trPr>
          <w:trHeight w:val="184"/>
        </w:trPr>
        <w:tc>
          <w:tcPr>
            <w:tcW w:w="10300" w:type="dxa"/>
            <w:vAlign w:val="bottom"/>
            <w:gridSpan w:val="21"/>
          </w:tcPr>
          <w:p>
            <w:pPr>
              <w:ind w:left="540"/>
              <w:spacing w:after="0" w:line="184"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Statements of Operations</w:t>
              </w:r>
            </w:hyperlink>
          </w:p>
        </w:tc>
        <w:tc>
          <w:tcPr>
            <w:tcW w:w="940" w:type="dxa"/>
            <w:vAlign w:val="bottom"/>
            <w:gridSpan w:val="8"/>
          </w:tcPr>
          <w:p>
            <w:pPr>
              <w:ind w:left="380"/>
              <w:spacing w:after="0" w:line="184" w:lineRule="exact"/>
              <w:rPr>
                <w:rFonts w:ascii="Arial" w:cs="Arial" w:eastAsia="Arial" w:hAnsi="Arial"/>
                <w:sz w:val="18"/>
                <w:szCs w:val="18"/>
                <w:color w:val="3051F2"/>
              </w:rPr>
            </w:pPr>
            <w:r>
              <w:rPr>
                <w:rFonts w:ascii="Arial" w:cs="Arial" w:eastAsia="Arial" w:hAnsi="Arial"/>
                <w:sz w:val="18"/>
                <w:szCs w:val="18"/>
                <w:color w:val="3051F2"/>
              </w:rPr>
              <w:t>F-</w:t>
            </w:r>
            <w:hyperlink w:anchor="page70">
              <w:r>
                <w:rPr>
                  <w:rFonts w:ascii="Arial" w:cs="Arial" w:eastAsia="Arial" w:hAnsi="Arial"/>
                  <w:sz w:val="18"/>
                  <w:szCs w:val="18"/>
                  <w:color w:val="0000FF"/>
                </w:rPr>
                <w:t>3</w:t>
              </w:r>
            </w:hyperlink>
          </w:p>
        </w:tc>
      </w:tr>
      <w:tr>
        <w:trPr>
          <w:trHeight w:val="30"/>
        </w:trPr>
        <w:tc>
          <w:tcPr>
            <w:tcW w:w="5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94"/>
        </w:trPr>
        <w:tc>
          <w:tcPr>
            <w:tcW w:w="10300" w:type="dxa"/>
            <w:vAlign w:val="bottom"/>
            <w:gridSpan w:val="21"/>
            <w:shd w:val="clear" w:color="auto" w:fill="CCEEFF"/>
          </w:tcPr>
          <w:p>
            <w:pPr>
              <w:ind w:left="540"/>
              <w:spacing w:after="0" w:line="195" w:lineRule="exact"/>
              <w:rPr>
                <w:rFonts w:ascii="Arial" w:cs="Arial" w:eastAsia="Arial" w:hAnsi="Arial"/>
                <w:sz w:val="18"/>
                <w:szCs w:val="18"/>
                <w:color w:val="0000FF"/>
              </w:rPr>
            </w:pPr>
            <w:hyperlink w:anchor="page71">
              <w:r>
                <w:rPr>
                  <w:rFonts w:ascii="Arial" w:cs="Arial" w:eastAsia="Arial" w:hAnsi="Arial"/>
                  <w:sz w:val="18"/>
                  <w:szCs w:val="18"/>
                  <w:color w:val="0000FF"/>
                </w:rPr>
                <w:t>Consolidated Statements of Comprehensive Income</w:t>
              </w:r>
            </w:hyperlink>
          </w:p>
        </w:tc>
        <w:tc>
          <w:tcPr>
            <w:tcW w:w="940" w:type="dxa"/>
            <w:vAlign w:val="bottom"/>
            <w:gridSpan w:val="8"/>
            <w:shd w:val="clear" w:color="auto" w:fill="CCEEFF"/>
          </w:tcPr>
          <w:p>
            <w:pPr>
              <w:ind w:left="380"/>
              <w:spacing w:after="0" w:line="195" w:lineRule="exact"/>
              <w:rPr>
                <w:rFonts w:ascii="Arial" w:cs="Arial" w:eastAsia="Arial" w:hAnsi="Arial"/>
                <w:sz w:val="18"/>
                <w:szCs w:val="18"/>
                <w:color w:val="3051F2"/>
              </w:rPr>
            </w:pPr>
            <w:r>
              <w:rPr>
                <w:rFonts w:ascii="Arial" w:cs="Arial" w:eastAsia="Arial" w:hAnsi="Arial"/>
                <w:sz w:val="18"/>
                <w:szCs w:val="18"/>
                <w:color w:val="3051F2"/>
              </w:rPr>
              <w:t>F-</w:t>
            </w:r>
            <w:hyperlink w:anchor="page71">
              <w:r>
                <w:rPr>
                  <w:rFonts w:ascii="Arial" w:cs="Arial" w:eastAsia="Arial" w:hAnsi="Arial"/>
                  <w:sz w:val="18"/>
                  <w:szCs w:val="18"/>
                  <w:color w:val="0000FF"/>
                </w:rPr>
                <w:t>4</w:t>
              </w:r>
            </w:hyperlink>
          </w:p>
        </w:tc>
      </w:tr>
      <w:tr>
        <w:trPr>
          <w:trHeight w:val="40"/>
        </w:trPr>
        <w:tc>
          <w:tcPr>
            <w:tcW w:w="54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20" w:type="dxa"/>
            <w:vAlign w:val="bottom"/>
            <w:tcBorders>
              <w:lef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r>
      <w:tr>
        <w:trPr>
          <w:trHeight w:val="184"/>
        </w:trPr>
        <w:tc>
          <w:tcPr>
            <w:tcW w:w="10300" w:type="dxa"/>
            <w:vAlign w:val="bottom"/>
            <w:gridSpan w:val="21"/>
          </w:tcPr>
          <w:p>
            <w:pPr>
              <w:ind w:left="540"/>
              <w:spacing w:after="0" w:line="184" w:lineRule="exact"/>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Changes in Unitholders’ Equity</w:t>
              </w:r>
            </w:hyperlink>
          </w:p>
        </w:tc>
        <w:tc>
          <w:tcPr>
            <w:tcW w:w="940" w:type="dxa"/>
            <w:vAlign w:val="bottom"/>
            <w:gridSpan w:val="8"/>
          </w:tcPr>
          <w:p>
            <w:pPr>
              <w:ind w:left="380"/>
              <w:spacing w:after="0" w:line="184" w:lineRule="exact"/>
              <w:rPr>
                <w:rFonts w:ascii="Arial" w:cs="Arial" w:eastAsia="Arial" w:hAnsi="Arial"/>
                <w:sz w:val="18"/>
                <w:szCs w:val="18"/>
                <w:color w:val="3051F2"/>
              </w:rPr>
            </w:pPr>
            <w:r>
              <w:rPr>
                <w:rFonts w:ascii="Arial" w:cs="Arial" w:eastAsia="Arial" w:hAnsi="Arial"/>
                <w:sz w:val="18"/>
                <w:szCs w:val="18"/>
                <w:color w:val="3051F2"/>
              </w:rPr>
              <w:t>F-</w:t>
            </w:r>
            <w:hyperlink w:anchor="page72">
              <w:r>
                <w:rPr>
                  <w:rFonts w:ascii="Arial" w:cs="Arial" w:eastAsia="Arial" w:hAnsi="Arial"/>
                  <w:sz w:val="18"/>
                  <w:szCs w:val="18"/>
                  <w:color w:val="0000FF"/>
                </w:rPr>
                <w:t>5</w:t>
              </w:r>
            </w:hyperlink>
          </w:p>
        </w:tc>
      </w:tr>
      <w:tr>
        <w:trPr>
          <w:trHeight w:val="30"/>
        </w:trPr>
        <w:tc>
          <w:tcPr>
            <w:tcW w:w="54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94"/>
        </w:trPr>
        <w:tc>
          <w:tcPr>
            <w:tcW w:w="10300" w:type="dxa"/>
            <w:vAlign w:val="bottom"/>
            <w:gridSpan w:val="21"/>
            <w:shd w:val="clear" w:color="auto" w:fill="CCEEFF"/>
          </w:tcPr>
          <w:p>
            <w:pPr>
              <w:ind w:left="540"/>
              <w:spacing w:after="0" w:line="195" w:lineRule="exact"/>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Cash Flows</w:t>
              </w:r>
            </w:hyperlink>
          </w:p>
        </w:tc>
        <w:tc>
          <w:tcPr>
            <w:tcW w:w="940" w:type="dxa"/>
            <w:vAlign w:val="bottom"/>
            <w:gridSpan w:val="8"/>
            <w:shd w:val="clear" w:color="auto" w:fill="CCEEFF"/>
          </w:tcPr>
          <w:p>
            <w:pPr>
              <w:ind w:left="380"/>
              <w:spacing w:after="0" w:line="195" w:lineRule="exact"/>
              <w:rPr>
                <w:rFonts w:ascii="Arial" w:cs="Arial" w:eastAsia="Arial" w:hAnsi="Arial"/>
                <w:sz w:val="18"/>
                <w:szCs w:val="18"/>
                <w:color w:val="3051F2"/>
              </w:rPr>
            </w:pPr>
            <w:r>
              <w:rPr>
                <w:rFonts w:ascii="Arial" w:cs="Arial" w:eastAsia="Arial" w:hAnsi="Arial"/>
                <w:sz w:val="18"/>
                <w:szCs w:val="18"/>
                <w:color w:val="3051F2"/>
              </w:rPr>
              <w:t>F-</w:t>
            </w:r>
            <w:hyperlink w:anchor="page74">
              <w:r>
                <w:rPr>
                  <w:rFonts w:ascii="Arial" w:cs="Arial" w:eastAsia="Arial" w:hAnsi="Arial"/>
                  <w:sz w:val="18"/>
                  <w:szCs w:val="18"/>
                  <w:color w:val="0000FF"/>
                </w:rPr>
                <w:t>7</w:t>
              </w:r>
            </w:hyperlink>
          </w:p>
        </w:tc>
      </w:tr>
      <w:tr>
        <w:trPr>
          <w:trHeight w:val="40"/>
        </w:trPr>
        <w:tc>
          <w:tcPr>
            <w:tcW w:w="540" w:type="dxa"/>
            <w:vAlign w:val="bottom"/>
            <w:shd w:val="clear" w:color="auto" w:fill="CCEE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20" w:type="dxa"/>
            <w:vAlign w:val="bottom"/>
            <w:tcBorders>
              <w:left w:val="single" w:sz="8" w:color="0000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r>
      <w:tr>
        <w:trPr>
          <w:trHeight w:val="194"/>
        </w:trPr>
        <w:tc>
          <w:tcPr>
            <w:tcW w:w="10300" w:type="dxa"/>
            <w:vAlign w:val="bottom"/>
            <w:gridSpan w:val="21"/>
          </w:tcPr>
          <w:p>
            <w:pPr>
              <w:ind w:left="540"/>
              <w:spacing w:after="0" w:line="184" w:lineRule="exact"/>
              <w:rPr>
                <w:rFonts w:ascii="Arial" w:cs="Arial" w:eastAsia="Arial" w:hAnsi="Arial"/>
                <w:sz w:val="18"/>
                <w:szCs w:val="18"/>
                <w:color w:val="0000FF"/>
              </w:rPr>
            </w:pPr>
            <w:hyperlink w:anchor="page75">
              <w:r>
                <w:rPr>
                  <w:rFonts w:ascii="Arial" w:cs="Arial" w:eastAsia="Arial" w:hAnsi="Arial"/>
                  <w:sz w:val="18"/>
                  <w:szCs w:val="18"/>
                  <w:color w:val="0000FF"/>
                </w:rPr>
                <w:t>Notes to Consolidated Financial Statements</w:t>
              </w:r>
            </w:hyperlink>
          </w:p>
        </w:tc>
        <w:tc>
          <w:tcPr>
            <w:tcW w:w="940" w:type="dxa"/>
            <w:vAlign w:val="bottom"/>
            <w:gridSpan w:val="8"/>
          </w:tcPr>
          <w:p>
            <w:pPr>
              <w:ind w:left="380"/>
              <w:spacing w:after="0" w:line="184" w:lineRule="exact"/>
              <w:rPr>
                <w:rFonts w:ascii="Arial" w:cs="Arial" w:eastAsia="Arial" w:hAnsi="Arial"/>
                <w:sz w:val="18"/>
                <w:szCs w:val="18"/>
                <w:color w:val="3051F2"/>
              </w:rPr>
            </w:pPr>
            <w:r>
              <w:rPr>
                <w:rFonts w:ascii="Arial" w:cs="Arial" w:eastAsia="Arial" w:hAnsi="Arial"/>
                <w:sz w:val="18"/>
                <w:szCs w:val="18"/>
                <w:color w:val="3051F2"/>
              </w:rPr>
              <w:t>F-</w:t>
            </w:r>
            <w:hyperlink w:anchor="page75">
              <w:r>
                <w:rPr>
                  <w:rFonts w:ascii="Arial" w:cs="Arial" w:eastAsia="Arial" w:hAnsi="Arial"/>
                  <w:sz w:val="18"/>
                  <w:szCs w:val="18"/>
                  <w:color w:val="0000FF"/>
                </w:rPr>
                <w:t>8</w:t>
              </w:r>
            </w:hyperlink>
          </w:p>
        </w:tc>
      </w:tr>
      <w:tr>
        <w:trPr>
          <w:trHeight w:val="273"/>
        </w:trPr>
        <w:tc>
          <w:tcPr>
            <w:tcW w:w="540" w:type="dxa"/>
            <w:vAlign w:val="bottom"/>
            <w:shd w:val="clear" w:color="auto" w:fill="CCEEFF"/>
          </w:tcPr>
          <w:p>
            <w:pPr>
              <w:spacing w:after="0"/>
              <w:rPr>
                <w:sz w:val="23"/>
                <w:szCs w:val="23"/>
                <w:color w:val="auto"/>
              </w:rPr>
            </w:pPr>
          </w:p>
        </w:tc>
        <w:tc>
          <w:tcPr>
            <w:tcW w:w="840" w:type="dxa"/>
            <w:vAlign w:val="bottom"/>
            <w:tcBorders>
              <w:top w:val="single" w:sz="8" w:color="0000FF"/>
            </w:tcBorders>
            <w:shd w:val="clear" w:color="auto" w:fill="CCEEFF"/>
          </w:tcPr>
          <w:p>
            <w:pPr>
              <w:spacing w:after="0"/>
              <w:rPr>
                <w:sz w:val="23"/>
                <w:szCs w:val="23"/>
                <w:color w:val="auto"/>
              </w:rPr>
            </w:pPr>
          </w:p>
        </w:tc>
        <w:tc>
          <w:tcPr>
            <w:tcW w:w="160" w:type="dxa"/>
            <w:vAlign w:val="bottom"/>
            <w:tcBorders>
              <w:top w:val="single" w:sz="8" w:color="0000FF"/>
              <w:right w:val="single" w:sz="8" w:color="CCEEFF"/>
            </w:tcBorders>
            <w:shd w:val="clear" w:color="auto" w:fill="CCEEFF"/>
          </w:tcPr>
          <w:p>
            <w:pPr>
              <w:spacing w:after="0"/>
              <w:rPr>
                <w:sz w:val="23"/>
                <w:szCs w:val="23"/>
                <w:color w:val="auto"/>
              </w:rPr>
            </w:pPr>
          </w:p>
        </w:tc>
        <w:tc>
          <w:tcPr>
            <w:tcW w:w="1040" w:type="dxa"/>
            <w:vAlign w:val="bottom"/>
            <w:tcBorders>
              <w:top w:val="single" w:sz="8" w:color="0000FF"/>
            </w:tcBorders>
            <w:shd w:val="clear" w:color="auto" w:fill="CCEEFF"/>
          </w:tcPr>
          <w:p>
            <w:pPr>
              <w:spacing w:after="0"/>
              <w:rPr>
                <w:sz w:val="23"/>
                <w:szCs w:val="23"/>
                <w:color w:val="auto"/>
              </w:rPr>
            </w:pPr>
          </w:p>
        </w:tc>
        <w:tc>
          <w:tcPr>
            <w:tcW w:w="440" w:type="dxa"/>
            <w:vAlign w:val="bottom"/>
            <w:tcBorders>
              <w:top w:val="single" w:sz="8" w:color="0000FF"/>
            </w:tcBorders>
            <w:shd w:val="clear" w:color="auto" w:fill="CCEEFF"/>
          </w:tcPr>
          <w:p>
            <w:pPr>
              <w:spacing w:after="0"/>
              <w:rPr>
                <w:sz w:val="23"/>
                <w:szCs w:val="23"/>
                <w:color w:val="auto"/>
              </w:rPr>
            </w:pPr>
          </w:p>
        </w:tc>
        <w:tc>
          <w:tcPr>
            <w:tcW w:w="260" w:type="dxa"/>
            <w:vAlign w:val="bottom"/>
            <w:tcBorders>
              <w:top w:val="single" w:sz="8" w:color="0000FF"/>
            </w:tcBorders>
            <w:shd w:val="clear" w:color="auto" w:fill="CCEEFF"/>
          </w:tcPr>
          <w:p>
            <w:pPr>
              <w:spacing w:after="0"/>
              <w:rPr>
                <w:sz w:val="23"/>
                <w:szCs w:val="23"/>
                <w:color w:val="auto"/>
              </w:rPr>
            </w:pPr>
          </w:p>
        </w:tc>
        <w:tc>
          <w:tcPr>
            <w:tcW w:w="320" w:type="dxa"/>
            <w:vAlign w:val="bottom"/>
            <w:tcBorders>
              <w:top w:val="single" w:sz="8" w:color="0000FF"/>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tcBorders>
              <w:top w:val="single" w:sz="8" w:color="0000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shd w:val="clear" w:color="auto" w:fill="CCEEFF"/>
          </w:tcPr>
          <w:p>
            <w:pPr>
              <w:spacing w:after="0"/>
              <w:rPr>
                <w:sz w:val="23"/>
                <w:szCs w:val="23"/>
                <w:color w:val="auto"/>
              </w:rPr>
            </w:pPr>
          </w:p>
        </w:tc>
      </w:tr>
      <w:tr>
        <w:trPr>
          <w:trHeight w:val="224"/>
        </w:trPr>
        <w:tc>
          <w:tcPr>
            <w:tcW w:w="10300" w:type="dxa"/>
            <w:vAlign w:val="bottom"/>
            <w:gridSpan w:val="21"/>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r>
      <w:tr>
        <w:trPr>
          <w:trHeight w:val="172"/>
        </w:trPr>
        <w:tc>
          <w:tcPr>
            <w:tcW w:w="10300" w:type="dxa"/>
            <w:vAlign w:val="bottom"/>
            <w:gridSpan w:val="21"/>
            <w:shd w:val="clear" w:color="auto" w:fill="CCEEFF"/>
          </w:tcPr>
          <w:p>
            <w:pPr>
              <w:ind w:left="540"/>
              <w:spacing w:after="0" w:line="172" w:lineRule="exact"/>
              <w:rPr>
                <w:sz w:val="20"/>
                <w:szCs w:val="20"/>
                <w:color w:val="auto"/>
              </w:rPr>
            </w:pPr>
            <w:r>
              <w:rPr>
                <w:rFonts w:ascii="Arial" w:cs="Arial" w:eastAsia="Arial" w:hAnsi="Arial"/>
                <w:sz w:val="18"/>
                <w:szCs w:val="18"/>
                <w:color w:val="auto"/>
                <w:w w:val="90"/>
              </w:rPr>
              <w:t>Financial statement schedules have been omitted because they are either not required, not applicable or the information required to be</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shd w:val="clear" w:color="auto" w:fill="CCEEFF"/>
          </w:tcPr>
          <w:p>
            <w:pPr>
              <w:spacing w:after="0"/>
              <w:rPr>
                <w:sz w:val="14"/>
                <w:szCs w:val="14"/>
                <w:color w:val="auto"/>
              </w:rPr>
            </w:pPr>
          </w:p>
        </w:tc>
      </w:tr>
      <w:tr>
        <w:trPr>
          <w:trHeight w:val="223"/>
        </w:trPr>
        <w:tc>
          <w:tcPr>
            <w:tcW w:w="10300" w:type="dxa"/>
            <w:vAlign w:val="bottom"/>
            <w:gridSpan w:val="21"/>
            <w:shd w:val="clear" w:color="auto" w:fill="CCEEFF"/>
          </w:tcPr>
          <w:p>
            <w:pPr>
              <w:ind w:left="540"/>
              <w:spacing w:after="0"/>
              <w:rPr>
                <w:sz w:val="20"/>
                <w:szCs w:val="20"/>
                <w:color w:val="auto"/>
              </w:rPr>
            </w:pPr>
            <w:r>
              <w:rPr>
                <w:rFonts w:ascii="Arial" w:cs="Arial" w:eastAsia="Arial" w:hAnsi="Arial"/>
                <w:sz w:val="18"/>
                <w:szCs w:val="18"/>
                <w:color w:val="auto"/>
              </w:rPr>
              <w:t>presented is included in our consolidated financial statements and related notes.</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shd w:val="clear" w:color="auto" w:fill="CCEEFF"/>
          </w:tcPr>
          <w:p>
            <w:pPr>
              <w:spacing w:after="0"/>
              <w:rPr>
                <w:sz w:val="19"/>
                <w:szCs w:val="19"/>
                <w:color w:val="auto"/>
              </w:rPr>
            </w:pPr>
          </w:p>
        </w:tc>
      </w:tr>
      <w:tr>
        <w:trPr>
          <w:trHeight w:val="579"/>
        </w:trPr>
        <w:tc>
          <w:tcPr>
            <w:tcW w:w="1540" w:type="dxa"/>
            <w:vAlign w:val="bottom"/>
            <w:gridSpan w:val="3"/>
          </w:tcPr>
          <w:p>
            <w:pPr>
              <w:ind w:left="60"/>
              <w:spacing w:after="0"/>
              <w:rPr>
                <w:sz w:val="20"/>
                <w:szCs w:val="20"/>
                <w:color w:val="auto"/>
              </w:rPr>
            </w:pPr>
            <w:r>
              <w:rPr>
                <w:rFonts w:ascii="Arial" w:cs="Arial" w:eastAsia="Arial" w:hAnsi="Arial"/>
                <w:sz w:val="18"/>
                <w:szCs w:val="18"/>
                <w:i w:val="1"/>
                <w:iCs w:val="1"/>
                <w:color w:val="auto"/>
              </w:rPr>
              <w:t>3. Exhibits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310"/>
        </w:trPr>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Exhibit Number</w:t>
            </w:r>
          </w:p>
        </w:tc>
        <w:tc>
          <w:tcPr>
            <w:tcW w:w="8760" w:type="dxa"/>
            <w:vAlign w:val="bottom"/>
            <w:gridSpan w:val="18"/>
          </w:tcPr>
          <w:p>
            <w:pPr>
              <w:ind w:left="40"/>
              <w:spacing w:after="0"/>
              <w:rPr>
                <w:sz w:val="20"/>
                <w:szCs w:val="20"/>
                <w:color w:val="auto"/>
              </w:rPr>
            </w:pPr>
            <w:r>
              <w:rPr>
                <w:rFonts w:ascii="Arial" w:cs="Arial" w:eastAsia="Arial" w:hAnsi="Arial"/>
                <w:sz w:val="16"/>
                <w:szCs w:val="16"/>
                <w:b w:val="1"/>
                <w:bCs w:val="1"/>
                <w:color w:val="auto"/>
              </w:rPr>
              <w:t>Description</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12"/>
        </w:trPr>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48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tcBorders>
            <w:gridSpan w:val="4"/>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4"/>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Borders>
              <w:bottom w:val="single" w:sz="8" w:color="auto"/>
            </w:tcBorders>
          </w:tcPr>
          <w:p>
            <w:pPr>
              <w:spacing w:after="0"/>
              <w:rPr>
                <w:sz w:val="9"/>
                <w:szCs w:val="9"/>
                <w:color w:val="auto"/>
              </w:rPr>
            </w:pPr>
          </w:p>
        </w:tc>
      </w:tr>
      <w:tr>
        <w:trPr>
          <w:trHeight w:val="164"/>
        </w:trPr>
        <w:tc>
          <w:tcPr>
            <w:tcW w:w="5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2.1#</w:t>
            </w:r>
          </w:p>
        </w:tc>
        <w:tc>
          <w:tcPr>
            <w:tcW w:w="8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700" w:type="dxa"/>
            <w:vAlign w:val="bottom"/>
            <w:gridSpan w:val="26"/>
            <w:shd w:val="clear" w:color="auto" w:fill="CCEEFF"/>
          </w:tcPr>
          <w:p>
            <w:pPr>
              <w:spacing w:after="0" w:line="165" w:lineRule="exact"/>
              <w:rPr>
                <w:rFonts w:ascii="Arial" w:cs="Arial" w:eastAsia="Arial" w:hAnsi="Arial"/>
                <w:sz w:val="16"/>
                <w:szCs w:val="16"/>
                <w:color w:val="0000FF"/>
                <w:w w:val="94"/>
              </w:rPr>
            </w:pPr>
            <w:hyperlink r:id="rId85">
              <w:r>
                <w:rPr>
                  <w:rFonts w:ascii="Arial" w:cs="Arial" w:eastAsia="Arial" w:hAnsi="Arial"/>
                  <w:sz w:val="16"/>
                  <w:szCs w:val="16"/>
                  <w:color w:val="0000FF"/>
                  <w:w w:val="94"/>
                </w:rPr>
                <w:t>Amended and Restated Contribution Agreement among Diamondback Energy, Inc., Diamondback E&amp;P LLC, Diamondback O&amp;G LLC and Rattler</w:t>
              </w:r>
            </w:hyperlink>
          </w:p>
        </w:tc>
      </w:tr>
      <w:tr>
        <w:trPr>
          <w:trHeight w:val="138"/>
        </w:trPr>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00" w:type="dxa"/>
            <w:vAlign w:val="bottom"/>
            <w:tcBorders>
              <w:top w:val="single" w:sz="8" w:color="0000FF"/>
              <w:bottom w:val="single" w:sz="8" w:color="0000FF"/>
            </w:tcBorders>
            <w:gridSpan w:val="25"/>
            <w:shd w:val="clear" w:color="auto" w:fill="CCEEFF"/>
          </w:tcPr>
          <w:p>
            <w:pPr>
              <w:spacing w:after="0" w:line="138" w:lineRule="exact"/>
              <w:rPr>
                <w:rFonts w:ascii="Arial" w:cs="Arial" w:eastAsia="Arial" w:hAnsi="Arial"/>
                <w:sz w:val="16"/>
                <w:szCs w:val="16"/>
                <w:color w:val="0000FF"/>
                <w:w w:val="92"/>
              </w:rPr>
            </w:pPr>
            <w:hyperlink r:id="rId85">
              <w:r>
                <w:rPr>
                  <w:rFonts w:ascii="Arial" w:cs="Arial" w:eastAsia="Arial" w:hAnsi="Arial"/>
                  <w:sz w:val="16"/>
                  <w:szCs w:val="16"/>
                  <w:color w:val="0000FF"/>
                  <w:w w:val="92"/>
                </w:rPr>
                <w:t>Midstream Operating LLC (formerly Rattler Midstream LLC), dated as of July 31, 2018 (incorporated by reference to Exhibit 2.1 of Amendment No. 2</w:t>
              </w:r>
            </w:hyperlink>
          </w:p>
        </w:tc>
        <w:tc>
          <w:tcPr>
            <w:tcW w:w="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8"/>
        </w:trPr>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760" w:type="dxa"/>
            <w:vAlign w:val="bottom"/>
            <w:gridSpan w:val="18"/>
            <w:shd w:val="clear" w:color="auto" w:fill="CCEEFF"/>
          </w:tcPr>
          <w:p>
            <w:pPr>
              <w:spacing w:after="0" w:line="138" w:lineRule="exact"/>
              <w:rPr>
                <w:rFonts w:ascii="Arial" w:cs="Arial" w:eastAsia="Arial" w:hAnsi="Arial"/>
                <w:sz w:val="16"/>
                <w:szCs w:val="16"/>
                <w:color w:val="0000FF"/>
              </w:rPr>
            </w:pPr>
            <w:hyperlink r:id="rId85">
              <w:r>
                <w:rPr>
                  <w:rFonts w:ascii="Arial" w:cs="Arial" w:eastAsia="Arial" w:hAnsi="Arial"/>
                  <w:sz w:val="16"/>
                  <w:szCs w:val="16"/>
                  <w:color w:val="0000FF"/>
                </w:rPr>
                <w:t>to the Registrant’s Registration Statement on Form S-1 (File No. 333-226645) filed on January 22, 2019).</w:t>
              </w:r>
            </w:hyperlink>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shd w:val="clear" w:color="auto" w:fill="CCEEFF"/>
          </w:tcPr>
          <w:p>
            <w:pPr>
              <w:spacing w:after="0"/>
              <w:rPr>
                <w:sz w:val="12"/>
                <w:szCs w:val="12"/>
                <w:color w:val="auto"/>
              </w:rPr>
            </w:pPr>
          </w:p>
        </w:tc>
      </w:tr>
      <w:tr>
        <w:trPr>
          <w:trHeight w:val="40"/>
        </w:trPr>
        <w:tc>
          <w:tcPr>
            <w:tcW w:w="5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20" w:type="dxa"/>
            <w:vAlign w:val="bottom"/>
            <w:tcBorders>
              <w:lef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shd w:val="clear" w:color="auto" w:fill="CCEEFF"/>
          </w:tcPr>
          <w:p>
            <w:pPr>
              <w:spacing w:after="0"/>
              <w:rPr>
                <w:sz w:val="3"/>
                <w:szCs w:val="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2.2#</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gridSpan w:val="26"/>
          </w:tcPr>
          <w:p>
            <w:pPr>
              <w:spacing w:after="0" w:line="171" w:lineRule="exact"/>
              <w:rPr>
                <w:rFonts w:ascii="Arial" w:cs="Arial" w:eastAsia="Arial" w:hAnsi="Arial"/>
                <w:sz w:val="16"/>
                <w:szCs w:val="16"/>
                <w:color w:val="0000FF"/>
                <w:w w:val="93"/>
              </w:rPr>
            </w:pPr>
            <w:hyperlink r:id="rId86">
              <w:r>
                <w:rPr>
                  <w:rFonts w:ascii="Arial" w:cs="Arial" w:eastAsia="Arial" w:hAnsi="Arial"/>
                  <w:sz w:val="16"/>
                  <w:szCs w:val="16"/>
                  <w:color w:val="0000FF"/>
                  <w:w w:val="93"/>
                </w:rPr>
                <w:t>Contribution Agreement among Diamondback Energy, Inc., Diamondback E&amp;P LLC, Energen Resources Corporation, Rattler Midstream Operating</w:t>
              </w:r>
            </w:hyperlink>
          </w:p>
        </w:tc>
      </w:tr>
      <w:tr>
        <w:trPr>
          <w:trHeight w:val="13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3"/>
          </w:tcPr>
          <w:p>
            <w:pPr>
              <w:spacing w:after="0" w:line="138" w:lineRule="exact"/>
              <w:rPr>
                <w:rFonts w:ascii="Arial" w:cs="Arial" w:eastAsia="Arial" w:hAnsi="Arial"/>
                <w:sz w:val="16"/>
                <w:szCs w:val="16"/>
                <w:color w:val="0000FF"/>
                <w:w w:val="95"/>
              </w:rPr>
            </w:pPr>
            <w:hyperlink r:id="rId86">
              <w:r>
                <w:rPr>
                  <w:rFonts w:ascii="Arial" w:cs="Arial" w:eastAsia="Arial" w:hAnsi="Arial"/>
                  <w:sz w:val="16"/>
                  <w:szCs w:val="16"/>
                  <w:color w:val="0000FF"/>
                  <w:w w:val="95"/>
                </w:rPr>
                <w:t>LLC and Tall City Towers LLC, effective as of January 1, 2019 (incorporated by reference to Exhibit 2.2 of Amendment No. 3 to the Registrant’s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r>
      <w:tr>
        <w:trPr>
          <w:trHeight w:val="13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760" w:type="dxa"/>
            <w:vAlign w:val="bottom"/>
            <w:gridSpan w:val="18"/>
          </w:tcPr>
          <w:p>
            <w:pPr>
              <w:spacing w:after="0" w:line="138" w:lineRule="exact"/>
              <w:rPr>
                <w:rFonts w:ascii="Arial" w:cs="Arial" w:eastAsia="Arial" w:hAnsi="Arial"/>
                <w:sz w:val="16"/>
                <w:szCs w:val="16"/>
                <w:color w:val="0000FF"/>
              </w:rPr>
            </w:pPr>
            <w:hyperlink r:id="rId86">
              <w:r>
                <w:rPr>
                  <w:rFonts w:ascii="Arial" w:cs="Arial" w:eastAsia="Arial" w:hAnsi="Arial"/>
                  <w:sz w:val="16"/>
                  <w:szCs w:val="16"/>
                  <w:color w:val="0000FF"/>
                </w:rPr>
                <w:t>Registration Statement on Form S-1 (File No. 333-226645) filed on February 20, 2019).</w:t>
              </w:r>
            </w:hyperlink>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30"/>
        </w:trPr>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81"/>
        </w:trPr>
        <w:tc>
          <w:tcPr>
            <w:tcW w:w="5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2.3#</w:t>
            </w:r>
          </w:p>
        </w:tc>
        <w:tc>
          <w:tcPr>
            <w:tcW w:w="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9700" w:type="dxa"/>
            <w:vAlign w:val="bottom"/>
            <w:tcBorders>
              <w:bottom w:val="single" w:sz="8" w:color="0000FF"/>
            </w:tcBorders>
            <w:gridSpan w:val="26"/>
            <w:shd w:val="clear" w:color="auto" w:fill="CCEEFF"/>
          </w:tcPr>
          <w:p>
            <w:pPr>
              <w:spacing w:after="0" w:line="181" w:lineRule="exact"/>
              <w:rPr>
                <w:rFonts w:ascii="Arial" w:cs="Arial" w:eastAsia="Arial" w:hAnsi="Arial"/>
                <w:sz w:val="16"/>
                <w:szCs w:val="16"/>
                <w:color w:val="0000FF"/>
                <w:w w:val="92"/>
              </w:rPr>
            </w:pPr>
            <w:hyperlink r:id="rId87">
              <w:r>
                <w:rPr>
                  <w:rFonts w:ascii="Arial" w:cs="Arial" w:eastAsia="Arial" w:hAnsi="Arial"/>
                  <w:sz w:val="16"/>
                  <w:szCs w:val="16"/>
                  <w:color w:val="0000FF"/>
                  <w:w w:val="92"/>
                </w:rPr>
                <w:t>Purchase and Sale Agreement, dated October 19, 2021, by and among Diamondback E&amp;P LLC, QEP Energy Company and Guidon Anchor LLC, as</w:t>
              </w:r>
            </w:hyperlink>
          </w:p>
        </w:tc>
      </w:tr>
      <w:tr>
        <w:trPr>
          <w:trHeight w:val="138"/>
        </w:trPr>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700" w:type="dxa"/>
            <w:vAlign w:val="bottom"/>
            <w:gridSpan w:val="26"/>
            <w:shd w:val="clear" w:color="auto" w:fill="CCEEFF"/>
          </w:tcPr>
          <w:p>
            <w:pPr>
              <w:spacing w:after="0" w:line="138" w:lineRule="exact"/>
              <w:rPr>
                <w:rFonts w:ascii="Arial" w:cs="Arial" w:eastAsia="Arial" w:hAnsi="Arial"/>
                <w:sz w:val="16"/>
                <w:szCs w:val="16"/>
                <w:color w:val="0000FF"/>
                <w:w w:val="93"/>
              </w:rPr>
            </w:pPr>
            <w:hyperlink r:id="rId87">
              <w:r>
                <w:rPr>
                  <w:rFonts w:ascii="Arial" w:cs="Arial" w:eastAsia="Arial" w:hAnsi="Arial"/>
                  <w:sz w:val="16"/>
                  <w:szCs w:val="16"/>
                  <w:color w:val="0000FF"/>
                  <w:w w:val="93"/>
                </w:rPr>
                <w:t>seller, and Rattler Midstream Operating LLC, as purchaser (incorporated by reference to Exhibit 2.1 of the Registrant’s Current Report on Form 8-K</w:t>
              </w:r>
            </w:hyperlink>
          </w:p>
        </w:tc>
      </w:tr>
      <w:tr>
        <w:trPr>
          <w:trHeight w:val="158"/>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840" w:type="dxa"/>
            <w:vAlign w:val="bottom"/>
            <w:tcBorders>
              <w:top w:val="single" w:sz="8" w:color="0000FF"/>
              <w:bottom w:val="single" w:sz="8" w:color="0000FF"/>
            </w:tcBorders>
            <w:gridSpan w:val="6"/>
            <w:shd w:val="clear" w:color="auto" w:fill="CCEEFF"/>
          </w:tcPr>
          <w:p>
            <w:pPr>
              <w:spacing w:after="0" w:line="138" w:lineRule="exact"/>
              <w:rPr>
                <w:rFonts w:ascii="Arial" w:cs="Arial" w:eastAsia="Arial" w:hAnsi="Arial"/>
                <w:sz w:val="16"/>
                <w:szCs w:val="16"/>
                <w:color w:val="0000FF"/>
                <w:w w:val="90"/>
              </w:rPr>
            </w:pPr>
            <w:hyperlink r:id="rId87">
              <w:r>
                <w:rPr>
                  <w:rFonts w:ascii="Arial" w:cs="Arial" w:eastAsia="Arial" w:hAnsi="Arial"/>
                  <w:sz w:val="16"/>
                  <w:szCs w:val="16"/>
                  <w:color w:val="0000FF"/>
                  <w:w w:val="90"/>
                </w:rPr>
                <w:t>(File 001-38919) filed on October 21, 2021).</w:t>
              </w:r>
            </w:hyperlink>
          </w:p>
        </w:tc>
        <w:tc>
          <w:tcPr>
            <w:tcW w:w="5920" w:type="dxa"/>
            <w:vAlign w:val="bottom"/>
            <w:tcBorders>
              <w:top w:val="single" w:sz="8" w:color="0000FF"/>
              <w:bottom w:val="single" w:sz="8" w:color="CCEEFF"/>
            </w:tcBorders>
            <w:gridSpan w:val="12"/>
            <w:shd w:val="clear" w:color="auto" w:fill="CCEEFF"/>
          </w:tcPr>
          <w:p>
            <w:pPr>
              <w:spacing w:after="0"/>
              <w:rPr>
                <w:sz w:val="13"/>
                <w:szCs w:val="13"/>
                <w:color w:val="auto"/>
              </w:rPr>
            </w:pPr>
          </w:p>
        </w:tc>
        <w:tc>
          <w:tcPr>
            <w:tcW w:w="54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gridSpan w:val="26"/>
          </w:tcPr>
          <w:p>
            <w:pPr>
              <w:spacing w:after="0" w:line="171" w:lineRule="exact"/>
              <w:rPr>
                <w:rFonts w:ascii="Arial" w:cs="Arial" w:eastAsia="Arial" w:hAnsi="Arial"/>
                <w:sz w:val="16"/>
                <w:szCs w:val="16"/>
                <w:color w:val="0000FF"/>
                <w:w w:val="94"/>
              </w:rPr>
            </w:pPr>
            <w:hyperlink r:id="rId88">
              <w:r>
                <w:rPr>
                  <w:rFonts w:ascii="Arial" w:cs="Arial" w:eastAsia="Arial" w:hAnsi="Arial"/>
                  <w:sz w:val="16"/>
                  <w:szCs w:val="16"/>
                  <w:color w:val="0000FF"/>
                  <w:w w:val="94"/>
                </w:rPr>
                <w:t>Certificate of Limited Partnership of Rattler Midstream LP (formerly Rattler Midstream Partners LP)(incorporated by reference to Exhibit 3.1 of the</w:t>
              </w:r>
            </w:hyperlink>
          </w:p>
        </w:tc>
      </w:tr>
      <w:tr>
        <w:trPr>
          <w:trHeight w:val="14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180" w:type="dxa"/>
            <w:vAlign w:val="bottom"/>
            <w:tcBorders>
              <w:top w:val="single" w:sz="8" w:color="0000FF"/>
              <w:bottom w:val="single" w:sz="8" w:color="0000FF"/>
            </w:tcBorders>
            <w:gridSpan w:val="15"/>
          </w:tcPr>
          <w:p>
            <w:pPr>
              <w:spacing w:after="0" w:line="138" w:lineRule="exact"/>
              <w:rPr>
                <w:rFonts w:ascii="Arial" w:cs="Arial" w:eastAsia="Arial" w:hAnsi="Arial"/>
                <w:sz w:val="16"/>
                <w:szCs w:val="16"/>
                <w:color w:val="0000FF"/>
                <w:w w:val="90"/>
              </w:rPr>
            </w:pPr>
            <w:hyperlink r:id="rId88">
              <w:r>
                <w:rPr>
                  <w:rFonts w:ascii="Arial" w:cs="Arial" w:eastAsia="Arial" w:hAnsi="Arial"/>
                  <w:sz w:val="16"/>
                  <w:szCs w:val="16"/>
                  <w:color w:val="0000FF"/>
                  <w:w w:val="90"/>
                </w:rPr>
                <w:t>Registrant’s Registration Statement on Form S-1 (File No. 333-226645) filed on August 7, 2018).</w:t>
              </w:r>
            </w:hyperlink>
          </w:p>
        </w:tc>
        <w:tc>
          <w:tcPr>
            <w:tcW w:w="2580" w:type="dxa"/>
            <w:vAlign w:val="bottom"/>
            <w:tcBorders>
              <w:top w:val="single" w:sz="8" w:color="0000FF"/>
            </w:tcBorders>
            <w:gridSpan w:val="3"/>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181"/>
        </w:trPr>
        <w:tc>
          <w:tcPr>
            <w:tcW w:w="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3.2</w:t>
            </w:r>
          </w:p>
        </w:tc>
        <w:tc>
          <w:tcPr>
            <w:tcW w:w="8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700" w:type="dxa"/>
            <w:vAlign w:val="bottom"/>
            <w:gridSpan w:val="26"/>
            <w:shd w:val="clear" w:color="auto" w:fill="CCEEFF"/>
          </w:tcPr>
          <w:p>
            <w:pPr>
              <w:spacing w:after="0" w:line="181" w:lineRule="exact"/>
              <w:rPr>
                <w:rFonts w:ascii="Arial" w:cs="Arial" w:eastAsia="Arial" w:hAnsi="Arial"/>
                <w:sz w:val="16"/>
                <w:szCs w:val="16"/>
                <w:color w:val="0000FF"/>
                <w:w w:val="92"/>
              </w:rPr>
            </w:pPr>
            <w:hyperlink r:id="rId89">
              <w:r>
                <w:rPr>
                  <w:rFonts w:ascii="Arial" w:cs="Arial" w:eastAsia="Arial" w:hAnsi="Arial"/>
                  <w:sz w:val="16"/>
                  <w:szCs w:val="16"/>
                  <w:color w:val="0000FF"/>
                  <w:w w:val="92"/>
                </w:rPr>
                <w:t>Certificate of Amendment to the Certificate of Limited Partnership of Rattler Midstream LP (formerly Rattler Midstream Partners LP)(incorporated by</w:t>
              </w:r>
            </w:hyperlink>
          </w:p>
        </w:tc>
      </w:tr>
      <w:tr>
        <w:trPr>
          <w:trHeight w:val="158"/>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600" w:type="dxa"/>
            <w:vAlign w:val="bottom"/>
            <w:tcBorders>
              <w:top w:val="single" w:sz="8" w:color="0000FF"/>
              <w:bottom w:val="single" w:sz="8" w:color="0000FF"/>
            </w:tcBorders>
            <w:gridSpan w:val="21"/>
            <w:shd w:val="clear" w:color="auto" w:fill="CCEEFF"/>
          </w:tcPr>
          <w:p>
            <w:pPr>
              <w:spacing w:after="0" w:line="138" w:lineRule="exact"/>
              <w:rPr>
                <w:rFonts w:ascii="Arial" w:cs="Arial" w:eastAsia="Arial" w:hAnsi="Arial"/>
                <w:sz w:val="16"/>
                <w:szCs w:val="16"/>
                <w:color w:val="0000FF"/>
                <w:w w:val="90"/>
              </w:rPr>
            </w:pPr>
            <w:hyperlink r:id="rId89">
              <w:r>
                <w:rPr>
                  <w:rFonts w:ascii="Arial" w:cs="Arial" w:eastAsia="Arial" w:hAnsi="Arial"/>
                  <w:sz w:val="16"/>
                  <w:szCs w:val="16"/>
                  <w:color w:val="0000FF"/>
                  <w:w w:val="90"/>
                </w:rPr>
                <w:t>reference to Exhibit 3.2 of Amendment No. 2 to the Registrant’s Registration Statement on Form S-1 (File No. 333-226645) filed on January 22, 2019).</w:t>
              </w:r>
            </w:hyperlink>
          </w:p>
        </w:tc>
        <w:tc>
          <w:tcPr>
            <w:tcW w:w="4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3.3</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gridSpan w:val="26"/>
          </w:tcPr>
          <w:p>
            <w:pPr>
              <w:spacing w:after="0" w:line="171"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First Amended and Restated Agreement of Limited Partnership of Rattler Midstream LP, dated May 28, 2019 (incorporated by reference to Exhibit 3.1</w:t>
              </w:r>
            </w:hyperlink>
          </w:p>
        </w:tc>
      </w:tr>
      <w:tr>
        <w:trPr>
          <w:trHeight w:val="14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80" w:type="dxa"/>
            <w:vAlign w:val="bottom"/>
            <w:tcBorders>
              <w:top w:val="single" w:sz="8" w:color="0000FF"/>
              <w:bottom w:val="single" w:sz="8" w:color="0000FF"/>
            </w:tcBorders>
            <w:gridSpan w:val="13"/>
          </w:tcPr>
          <w:p>
            <w:pPr>
              <w:spacing w:after="0" w:line="138"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of the Registrant’s Current Report on Form 8-K (File 001-38919) filed on May 29, 2019).</w:t>
              </w:r>
            </w:hyperlink>
          </w:p>
        </w:tc>
        <w:tc>
          <w:tcPr>
            <w:tcW w:w="3080" w:type="dxa"/>
            <w:vAlign w:val="bottom"/>
            <w:tcBorders>
              <w:top w:val="single" w:sz="8" w:color="0000FF"/>
            </w:tcBorders>
            <w:gridSpan w:val="5"/>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181"/>
        </w:trPr>
        <w:tc>
          <w:tcPr>
            <w:tcW w:w="5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3.4</w:t>
            </w:r>
          </w:p>
        </w:tc>
        <w:tc>
          <w:tcPr>
            <w:tcW w:w="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9700" w:type="dxa"/>
            <w:vAlign w:val="bottom"/>
            <w:tcBorders>
              <w:bottom w:val="single" w:sz="8" w:color="0000FF"/>
            </w:tcBorders>
            <w:gridSpan w:val="26"/>
            <w:shd w:val="clear" w:color="auto" w:fill="CCEEFF"/>
          </w:tcPr>
          <w:p>
            <w:pPr>
              <w:spacing w:after="0" w:line="181" w:lineRule="exact"/>
              <w:rPr>
                <w:rFonts w:ascii="Arial" w:cs="Arial" w:eastAsia="Arial" w:hAnsi="Arial"/>
                <w:sz w:val="16"/>
                <w:szCs w:val="16"/>
                <w:color w:val="0000FF"/>
                <w:w w:val="96"/>
              </w:rPr>
            </w:pPr>
            <w:hyperlink r:id="rId91">
              <w:r>
                <w:rPr>
                  <w:rFonts w:ascii="Arial" w:cs="Arial" w:eastAsia="Arial" w:hAnsi="Arial"/>
                  <w:sz w:val="16"/>
                  <w:szCs w:val="16"/>
                  <w:color w:val="0000FF"/>
                  <w:w w:val="96"/>
                </w:rPr>
                <w:t>Certificate of Formation of Rattler Midstream Operating LLC (formerly White Fang Energy LLC) (incorporated by reference to Exhibit 3.3 of the</w:t>
              </w:r>
            </w:hyperlink>
          </w:p>
        </w:tc>
      </w:tr>
      <w:tr>
        <w:trPr>
          <w:trHeight w:val="158"/>
        </w:trPr>
        <w:tc>
          <w:tcPr>
            <w:tcW w:w="5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6180" w:type="dxa"/>
            <w:vAlign w:val="bottom"/>
            <w:tcBorders>
              <w:bottom w:val="single" w:sz="8" w:color="0000FF"/>
            </w:tcBorders>
            <w:gridSpan w:val="15"/>
            <w:shd w:val="clear" w:color="auto" w:fill="CCEEFF"/>
          </w:tcPr>
          <w:p>
            <w:pPr>
              <w:spacing w:after="0" w:line="138" w:lineRule="exact"/>
              <w:rPr>
                <w:rFonts w:ascii="Arial" w:cs="Arial" w:eastAsia="Arial" w:hAnsi="Arial"/>
                <w:sz w:val="16"/>
                <w:szCs w:val="16"/>
                <w:color w:val="0000FF"/>
                <w:w w:val="90"/>
              </w:rPr>
            </w:pPr>
            <w:hyperlink r:id="rId91">
              <w:r>
                <w:rPr>
                  <w:rFonts w:ascii="Arial" w:cs="Arial" w:eastAsia="Arial" w:hAnsi="Arial"/>
                  <w:sz w:val="16"/>
                  <w:szCs w:val="16"/>
                  <w:color w:val="0000FF"/>
                  <w:w w:val="90"/>
                </w:rPr>
                <w:t>Registrant’s Registration Statement on Form S-1 (File No. 333-226645) filed on August 7, 2018).</w:t>
              </w:r>
            </w:hyperlink>
          </w:p>
        </w:tc>
        <w:tc>
          <w:tcPr>
            <w:tcW w:w="2580" w:type="dxa"/>
            <w:vAlign w:val="bottom"/>
            <w:tcBorders>
              <w:bottom w:val="single" w:sz="8" w:color="CCEEFF"/>
            </w:tcBorders>
            <w:gridSpan w:val="3"/>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Borders>
              <w:bottom w:val="single" w:sz="8" w:color="CCEEFF"/>
            </w:tcBorders>
            <w:shd w:val="clear" w:color="auto" w:fill="CCEEFF"/>
          </w:tcPr>
          <w:p>
            <w:pPr>
              <w:spacing w:after="0"/>
              <w:rPr>
                <w:sz w:val="13"/>
                <w:szCs w:val="1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3.5</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tcBorders>
              <w:bottom w:val="single" w:sz="8" w:color="0000FF"/>
            </w:tcBorders>
            <w:gridSpan w:val="26"/>
          </w:tcPr>
          <w:p>
            <w:pPr>
              <w:spacing w:after="0" w:line="171" w:lineRule="exact"/>
              <w:rPr>
                <w:rFonts w:ascii="Arial" w:cs="Arial" w:eastAsia="Arial" w:hAnsi="Arial"/>
                <w:sz w:val="16"/>
                <w:szCs w:val="16"/>
                <w:color w:val="0000FF"/>
                <w:w w:val="94"/>
              </w:rPr>
            </w:pPr>
            <w:hyperlink r:id="rId92">
              <w:r>
                <w:rPr>
                  <w:rFonts w:ascii="Arial" w:cs="Arial" w:eastAsia="Arial" w:hAnsi="Arial"/>
                  <w:sz w:val="16"/>
                  <w:szCs w:val="16"/>
                  <w:color w:val="0000FF"/>
                  <w:w w:val="94"/>
                </w:rPr>
                <w:t>Certificate of Amendment to the Certificate of Formation of Rattler Midstream Operating LLC (formerly White Fang Energy LLC) (incorporated by</w:t>
              </w:r>
            </w:hyperlink>
          </w:p>
        </w:tc>
      </w:tr>
      <w:tr>
        <w:trPr>
          <w:trHeight w:val="13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760" w:type="dxa"/>
            <w:vAlign w:val="bottom"/>
            <w:gridSpan w:val="18"/>
          </w:tcPr>
          <w:p>
            <w:pPr>
              <w:spacing w:after="0" w:line="138" w:lineRule="exact"/>
              <w:rPr>
                <w:rFonts w:ascii="Arial" w:cs="Arial" w:eastAsia="Arial" w:hAnsi="Arial"/>
                <w:sz w:val="16"/>
                <w:szCs w:val="16"/>
                <w:color w:val="0000FF"/>
                <w:w w:val="97"/>
              </w:rPr>
            </w:pPr>
            <w:hyperlink r:id="rId92">
              <w:r>
                <w:rPr>
                  <w:rFonts w:ascii="Arial" w:cs="Arial" w:eastAsia="Arial" w:hAnsi="Arial"/>
                  <w:sz w:val="16"/>
                  <w:szCs w:val="16"/>
                  <w:color w:val="0000FF"/>
                  <w:w w:val="97"/>
                </w:rPr>
                <w:t>reference to Exhibit 3.4 of the Registrant’s Registration Statement on Form S-1 (File No. 333-226645) filed on August 7, 2018).</w:t>
              </w:r>
            </w:hyperlink>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30"/>
        </w:trPr>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81"/>
        </w:trPr>
        <w:tc>
          <w:tcPr>
            <w:tcW w:w="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3.6</w:t>
            </w:r>
          </w:p>
        </w:tc>
        <w:tc>
          <w:tcPr>
            <w:tcW w:w="8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700" w:type="dxa"/>
            <w:vAlign w:val="bottom"/>
            <w:gridSpan w:val="26"/>
            <w:shd w:val="clear" w:color="auto" w:fill="CCEEFF"/>
          </w:tcPr>
          <w:p>
            <w:pPr>
              <w:spacing w:after="0" w:line="181" w:lineRule="exact"/>
              <w:rPr>
                <w:rFonts w:ascii="Arial" w:cs="Arial" w:eastAsia="Arial" w:hAnsi="Arial"/>
                <w:sz w:val="16"/>
                <w:szCs w:val="16"/>
                <w:color w:val="0000FF"/>
                <w:w w:val="95"/>
              </w:rPr>
            </w:pPr>
            <w:hyperlink r:id="rId93">
              <w:r>
                <w:rPr>
                  <w:rFonts w:ascii="Arial" w:cs="Arial" w:eastAsia="Arial" w:hAnsi="Arial"/>
                  <w:sz w:val="16"/>
                  <w:szCs w:val="16"/>
                  <w:color w:val="0000FF"/>
                  <w:w w:val="95"/>
                </w:rPr>
                <w:t>Certificate of Amendment to the Certificate of Formation of Rattler Midstream Operating LLC (formerly Rattler Midstream LLC) (incorporated by</w:t>
              </w:r>
            </w:hyperlink>
          </w:p>
        </w:tc>
      </w:tr>
      <w:tr>
        <w:trPr>
          <w:trHeight w:val="158"/>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600" w:type="dxa"/>
            <w:vAlign w:val="bottom"/>
            <w:tcBorders>
              <w:top w:val="single" w:sz="8" w:color="0000FF"/>
              <w:bottom w:val="single" w:sz="8" w:color="0000FF"/>
            </w:tcBorders>
            <w:gridSpan w:val="21"/>
            <w:shd w:val="clear" w:color="auto" w:fill="CCEEFF"/>
          </w:tcPr>
          <w:p>
            <w:pPr>
              <w:spacing w:after="0" w:line="138" w:lineRule="exact"/>
              <w:rPr>
                <w:rFonts w:ascii="Arial" w:cs="Arial" w:eastAsia="Arial" w:hAnsi="Arial"/>
                <w:sz w:val="16"/>
                <w:szCs w:val="16"/>
                <w:color w:val="0000FF"/>
                <w:w w:val="90"/>
              </w:rPr>
            </w:pPr>
            <w:hyperlink r:id="rId93">
              <w:r>
                <w:rPr>
                  <w:rFonts w:ascii="Arial" w:cs="Arial" w:eastAsia="Arial" w:hAnsi="Arial"/>
                  <w:sz w:val="16"/>
                  <w:szCs w:val="16"/>
                  <w:color w:val="0000FF"/>
                  <w:w w:val="90"/>
                </w:rPr>
                <w:t>reference to Exhibit 3.6 of Amendment No. 2 to the Registrant’s Registration Statement on Form S-1 (File No. 333-226645) filed on January 22, 2019).</w:t>
              </w:r>
            </w:hyperlink>
          </w:p>
        </w:tc>
        <w:tc>
          <w:tcPr>
            <w:tcW w:w="8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3.7</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gridSpan w:val="26"/>
          </w:tcPr>
          <w:p>
            <w:pPr>
              <w:spacing w:after="0" w:line="171" w:lineRule="exact"/>
              <w:rPr>
                <w:rFonts w:ascii="Arial" w:cs="Arial" w:eastAsia="Arial" w:hAnsi="Arial"/>
                <w:sz w:val="16"/>
                <w:szCs w:val="16"/>
                <w:color w:val="0000FF"/>
                <w:w w:val="92"/>
              </w:rPr>
            </w:pPr>
            <w:hyperlink r:id="rId94">
              <w:r>
                <w:rPr>
                  <w:rFonts w:ascii="Arial" w:cs="Arial" w:eastAsia="Arial" w:hAnsi="Arial"/>
                  <w:sz w:val="16"/>
                  <w:szCs w:val="16"/>
                  <w:color w:val="0000FF"/>
                  <w:w w:val="92"/>
                </w:rPr>
                <w:t>Third Amended and Restated Limited Liability Company Agreement of Rattler Midstream Operating LLC (incorporated by reference to Exhibit 3.1 of</w:t>
              </w:r>
            </w:hyperlink>
          </w:p>
        </w:tc>
      </w:tr>
      <w:tr>
        <w:trPr>
          <w:trHeight w:val="14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4"/>
          </w:tcPr>
          <w:p>
            <w:pPr>
              <w:spacing w:after="0" w:line="138" w:lineRule="exact"/>
              <w:rPr>
                <w:rFonts w:ascii="Arial" w:cs="Arial" w:eastAsia="Arial" w:hAnsi="Arial"/>
                <w:sz w:val="16"/>
                <w:szCs w:val="16"/>
                <w:color w:val="0000FF"/>
                <w:w w:val="90"/>
              </w:rPr>
            </w:pPr>
            <w:hyperlink r:id="rId94">
              <w:r>
                <w:rPr>
                  <w:rFonts w:ascii="Arial" w:cs="Arial" w:eastAsia="Arial" w:hAnsi="Arial"/>
                  <w:sz w:val="16"/>
                  <w:szCs w:val="16"/>
                  <w:color w:val="0000FF"/>
                  <w:w w:val="90"/>
                </w:rPr>
                <w:t>the Registrant’s Current Report on Form 8-K (File 001-38919) filed on December 27, 2021).</w:t>
              </w:r>
            </w:hyperlink>
          </w:p>
        </w:tc>
        <w:tc>
          <w:tcPr>
            <w:tcW w:w="2900" w:type="dxa"/>
            <w:vAlign w:val="bottom"/>
            <w:tcBorders>
              <w:top w:val="single" w:sz="8" w:color="0000FF"/>
            </w:tcBorders>
            <w:gridSpan w:val="4"/>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r>
      <w:tr>
        <w:trPr>
          <w:trHeight w:val="181"/>
        </w:trPr>
        <w:tc>
          <w:tcPr>
            <w:tcW w:w="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3.8</w:t>
            </w:r>
          </w:p>
        </w:tc>
        <w:tc>
          <w:tcPr>
            <w:tcW w:w="8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700" w:type="dxa"/>
            <w:vAlign w:val="bottom"/>
            <w:gridSpan w:val="26"/>
            <w:shd w:val="clear" w:color="auto" w:fill="CCEEFF"/>
          </w:tcPr>
          <w:p>
            <w:pPr>
              <w:spacing w:after="0" w:line="181" w:lineRule="exact"/>
              <w:rPr>
                <w:rFonts w:ascii="Arial" w:cs="Arial" w:eastAsia="Arial" w:hAnsi="Arial"/>
                <w:sz w:val="16"/>
                <w:szCs w:val="16"/>
                <w:color w:val="0000FF"/>
                <w:w w:val="91"/>
              </w:rPr>
            </w:pPr>
            <w:hyperlink r:id="rId95">
              <w:r>
                <w:rPr>
                  <w:rFonts w:ascii="Arial" w:cs="Arial" w:eastAsia="Arial" w:hAnsi="Arial"/>
                  <w:sz w:val="16"/>
                  <w:szCs w:val="16"/>
                  <w:color w:val="0000FF"/>
                  <w:w w:val="91"/>
                </w:rPr>
                <w:t>Certificate of Formation of Rattler Midstream GP LLC (incorporated by reference to Exhibit 3.6 of the Registrant’s Registration Statement on Form S-1</w:t>
              </w:r>
            </w:hyperlink>
          </w:p>
        </w:tc>
      </w:tr>
      <w:tr>
        <w:trPr>
          <w:trHeight w:val="158"/>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060" w:type="dxa"/>
            <w:vAlign w:val="bottom"/>
            <w:tcBorders>
              <w:top w:val="single" w:sz="8" w:color="0000FF"/>
              <w:bottom w:val="single" w:sz="8" w:color="0000FF"/>
            </w:tcBorders>
            <w:gridSpan w:val="7"/>
            <w:shd w:val="clear" w:color="auto" w:fill="CCEEFF"/>
          </w:tcPr>
          <w:p>
            <w:pPr>
              <w:spacing w:after="0" w:line="138" w:lineRule="exact"/>
              <w:rPr>
                <w:rFonts w:ascii="Arial" w:cs="Arial" w:eastAsia="Arial" w:hAnsi="Arial"/>
                <w:sz w:val="16"/>
                <w:szCs w:val="16"/>
                <w:color w:val="0000FF"/>
                <w:w w:val="91"/>
              </w:rPr>
            </w:pPr>
            <w:hyperlink r:id="rId95">
              <w:r>
                <w:rPr>
                  <w:rFonts w:ascii="Arial" w:cs="Arial" w:eastAsia="Arial" w:hAnsi="Arial"/>
                  <w:sz w:val="16"/>
                  <w:szCs w:val="16"/>
                  <w:color w:val="0000FF"/>
                  <w:w w:val="91"/>
                </w:rPr>
                <w:t>(File No. 333-226645) filed on August 7, 2018).</w:t>
              </w:r>
            </w:hyperlink>
          </w:p>
        </w:tc>
        <w:tc>
          <w:tcPr>
            <w:tcW w:w="570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54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1"/>
        </w:trPr>
        <w:tc>
          <w:tcPr>
            <w:tcW w:w="540" w:type="dxa"/>
            <w:vAlign w:val="bottom"/>
          </w:tcPr>
          <w:p>
            <w:pPr>
              <w:ind w:left="20"/>
              <w:spacing w:after="0" w:line="171" w:lineRule="exact"/>
              <w:rPr>
                <w:sz w:val="20"/>
                <w:szCs w:val="20"/>
                <w:color w:val="auto"/>
              </w:rPr>
            </w:pPr>
            <w:r>
              <w:rPr>
                <w:rFonts w:ascii="Arial" w:cs="Arial" w:eastAsia="Arial" w:hAnsi="Arial"/>
                <w:sz w:val="16"/>
                <w:szCs w:val="16"/>
                <w:color w:val="auto"/>
              </w:rPr>
              <w:t>3.9</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700" w:type="dxa"/>
            <w:vAlign w:val="bottom"/>
            <w:gridSpan w:val="26"/>
          </w:tcPr>
          <w:p>
            <w:pPr>
              <w:spacing w:after="0" w:line="171" w:lineRule="exact"/>
              <w:rPr>
                <w:rFonts w:ascii="Arial" w:cs="Arial" w:eastAsia="Arial" w:hAnsi="Arial"/>
                <w:sz w:val="16"/>
                <w:szCs w:val="16"/>
                <w:color w:val="0000FF"/>
                <w:w w:val="95"/>
              </w:rPr>
            </w:pPr>
            <w:hyperlink r:id="rId96">
              <w:r>
                <w:rPr>
                  <w:rFonts w:ascii="Arial" w:cs="Arial" w:eastAsia="Arial" w:hAnsi="Arial"/>
                  <w:sz w:val="16"/>
                  <w:szCs w:val="16"/>
                  <w:color w:val="0000FF"/>
                  <w:w w:val="95"/>
                </w:rPr>
                <w:t>First Amended and Restated Limited Liability Company Agreement of Rattler Midstream GP LLC (incorporated by reference to Exhibit 3.3 of the</w:t>
              </w:r>
            </w:hyperlink>
          </w:p>
        </w:tc>
      </w:tr>
      <w:tr>
        <w:trPr>
          <w:trHeight w:val="138"/>
        </w:trPr>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760" w:type="dxa"/>
            <w:vAlign w:val="bottom"/>
            <w:tcBorders>
              <w:top w:val="single" w:sz="8" w:color="0000FF"/>
            </w:tcBorders>
            <w:gridSpan w:val="18"/>
          </w:tcPr>
          <w:p>
            <w:pPr>
              <w:spacing w:after="0" w:line="138" w:lineRule="exact"/>
              <w:rPr>
                <w:rFonts w:ascii="Arial" w:cs="Arial" w:eastAsia="Arial" w:hAnsi="Arial"/>
                <w:sz w:val="16"/>
                <w:szCs w:val="16"/>
                <w:color w:val="0000FF"/>
              </w:rPr>
            </w:pPr>
            <w:hyperlink r:id="rId96">
              <w:r>
                <w:rPr>
                  <w:rFonts w:ascii="Arial" w:cs="Arial" w:eastAsia="Arial" w:hAnsi="Arial"/>
                  <w:sz w:val="16"/>
                  <w:szCs w:val="16"/>
                  <w:color w:val="0000FF"/>
                </w:rPr>
                <w:t>Registrant’s Current Report on Form 8-K (File 001-38919) filed on May 29, 2019).</w:t>
              </w:r>
            </w:hyperlink>
          </w:p>
        </w:tc>
        <w:tc>
          <w:tcPr>
            <w:tcW w:w="5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0" w:type="dxa"/>
            <w:vAlign w:val="bottom"/>
          </w:tcPr>
          <w:p>
            <w:pPr>
              <w:spacing w:after="0"/>
              <w:rPr>
                <w:sz w:val="12"/>
                <w:szCs w:val="12"/>
                <w:color w:val="auto"/>
              </w:rPr>
            </w:pPr>
          </w:p>
        </w:tc>
      </w:tr>
      <w:tr>
        <w:trPr>
          <w:trHeight w:val="30"/>
        </w:trPr>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2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r>
      <w:tr>
        <w:trPr>
          <w:trHeight w:val="181"/>
        </w:trPr>
        <w:tc>
          <w:tcPr>
            <w:tcW w:w="5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4.1</w:t>
            </w:r>
          </w:p>
        </w:tc>
        <w:tc>
          <w:tcPr>
            <w:tcW w:w="8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700" w:type="dxa"/>
            <w:vAlign w:val="bottom"/>
            <w:gridSpan w:val="26"/>
            <w:shd w:val="clear" w:color="auto" w:fill="CCEEFF"/>
          </w:tcPr>
          <w:p>
            <w:pPr>
              <w:spacing w:after="0" w:line="181"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Description of Securities of the Registrant (incorporated by reference to Exhibit 4.1 of the Registrant’s Current Report on Form 8-K (File 001-38919)</w:t>
              </w:r>
            </w:hyperlink>
          </w:p>
        </w:tc>
      </w:tr>
      <w:tr>
        <w:trPr>
          <w:trHeight w:val="18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8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6"/>
                <w:szCs w:val="16"/>
                <w:color w:val="0000FF"/>
                <w:w w:val="90"/>
              </w:rPr>
            </w:pPr>
            <w:hyperlink r:id="rId97">
              <w:r>
                <w:rPr>
                  <w:rFonts w:ascii="Arial" w:cs="Arial" w:eastAsia="Arial" w:hAnsi="Arial"/>
                  <w:sz w:val="16"/>
                  <w:szCs w:val="16"/>
                  <w:color w:val="0000FF"/>
                  <w:w w:val="90"/>
                </w:rPr>
                <w:t>filed on July 14, 2020).</w:t>
              </w:r>
            </w:hyperlink>
          </w:p>
        </w:tc>
        <w:tc>
          <w:tcPr>
            <w:tcW w:w="728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54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671"/>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9"/>
          </w:tcPr>
          <w:p>
            <w:pPr>
              <w:ind w:left="400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12"/>
        </w:trPr>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10160" w:type="dxa"/>
            <w:vAlign w:val="bottom"/>
            <w:gridSpan w:val="4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2"/>
        </w:trPr>
        <w:tc>
          <w:tcPr>
            <w:tcW w:w="1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64"/>
        </w:trPr>
        <w:tc>
          <w:tcPr>
            <w:tcW w:w="1380" w:type="dxa"/>
            <w:vAlign w:val="bottom"/>
          </w:tcPr>
          <w:p>
            <w:pPr>
              <w:ind w:left="20"/>
              <w:spacing w:after="0" w:line="165" w:lineRule="exact"/>
              <w:rPr>
                <w:sz w:val="20"/>
                <w:szCs w:val="20"/>
                <w:color w:val="auto"/>
              </w:rPr>
            </w:pPr>
            <w:r>
              <w:rPr>
                <w:rFonts w:ascii="Arial" w:cs="Arial" w:eastAsia="Arial" w:hAnsi="Arial"/>
                <w:sz w:val="16"/>
                <w:szCs w:val="16"/>
                <w:color w:val="auto"/>
              </w:rPr>
              <w:t>4.2</w:t>
            </w:r>
          </w:p>
        </w:tc>
        <w:tc>
          <w:tcPr>
            <w:tcW w:w="160" w:type="dxa"/>
            <w:vAlign w:val="bottom"/>
          </w:tcPr>
          <w:p>
            <w:pPr>
              <w:spacing w:after="0"/>
              <w:rPr>
                <w:sz w:val="14"/>
                <w:szCs w:val="14"/>
                <w:color w:val="auto"/>
              </w:rPr>
            </w:pPr>
          </w:p>
        </w:tc>
        <w:tc>
          <w:tcPr>
            <w:tcW w:w="10160" w:type="dxa"/>
            <w:vAlign w:val="bottom"/>
            <w:gridSpan w:val="40"/>
          </w:tcPr>
          <w:p>
            <w:pPr>
              <w:spacing w:after="0" w:line="165" w:lineRule="exact"/>
              <w:rPr>
                <w:rFonts w:ascii="Arial" w:cs="Arial" w:eastAsia="Arial" w:hAnsi="Arial"/>
                <w:sz w:val="16"/>
                <w:szCs w:val="16"/>
                <w:color w:val="0000FF"/>
                <w:w w:val="98"/>
              </w:rPr>
            </w:pPr>
            <w:hyperlink r:id="rId100">
              <w:r>
                <w:rPr>
                  <w:rFonts w:ascii="Arial" w:cs="Arial" w:eastAsia="Arial" w:hAnsi="Arial"/>
                  <w:sz w:val="16"/>
                  <w:szCs w:val="16"/>
                  <w:color w:val="0000FF"/>
                  <w:w w:val="98"/>
                </w:rPr>
                <w:t>Registration Rights Agreement, dated May 28, 2019, by and between Rattler Midstream LP and Energen Resources Corporation (incorporated by</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140" w:type="dxa"/>
            <w:vAlign w:val="bottom"/>
            <w:tcBorders>
              <w:top w:val="single" w:sz="8" w:color="0000FF"/>
            </w:tcBorders>
            <w:gridSpan w:val="39"/>
          </w:tcPr>
          <w:p>
            <w:pPr>
              <w:spacing w:after="0" w:line="138" w:lineRule="exact"/>
              <w:rPr>
                <w:rFonts w:ascii="Arial" w:cs="Arial" w:eastAsia="Arial" w:hAnsi="Arial"/>
                <w:sz w:val="16"/>
                <w:szCs w:val="16"/>
                <w:color w:val="0000FF"/>
              </w:rPr>
            </w:pPr>
            <w:hyperlink r:id="rId100">
              <w:r>
                <w:rPr>
                  <w:rFonts w:ascii="Arial" w:cs="Arial" w:eastAsia="Arial" w:hAnsi="Arial"/>
                  <w:sz w:val="16"/>
                  <w:szCs w:val="16"/>
                  <w:color w:val="0000FF"/>
                </w:rPr>
                <w:t>reference to Exhibit 4.1 of the Registrant’s Current Report on Form 8-K (File 001-38919) filed on May 29, 2019).</w:t>
              </w:r>
            </w:hyperlink>
          </w:p>
        </w:tc>
        <w:tc>
          <w:tcPr>
            <w:tcW w:w="20" w:type="dxa"/>
            <w:vAlign w:val="bottom"/>
          </w:tcPr>
          <w:p>
            <w:pPr>
              <w:spacing w:after="0"/>
              <w:rPr>
                <w:sz w:val="12"/>
                <w:szCs w:val="12"/>
                <w:color w:val="auto"/>
              </w:rPr>
            </w:pPr>
          </w:p>
        </w:tc>
      </w:tr>
      <w:tr>
        <w:trPr>
          <w:trHeight w:val="30"/>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4.3</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6"/>
              </w:rPr>
            </w:pPr>
            <w:hyperlink r:id="rId101">
              <w:r>
                <w:rPr>
                  <w:rFonts w:ascii="Arial" w:cs="Arial" w:eastAsia="Arial" w:hAnsi="Arial"/>
                  <w:sz w:val="16"/>
                  <w:szCs w:val="16"/>
                  <w:color w:val="0000FF"/>
                  <w:w w:val="96"/>
                </w:rPr>
                <w:t>Indenture, dated as of July 14, 2020, among Rattler Midstream LP, as issuer, Rattler Midstream Operating LLC, Tall City Towers LLC, Rattler OMOG</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36"/>
            <w:shd w:val="clear" w:color="auto" w:fill="CCEEFF"/>
          </w:tcPr>
          <w:p>
            <w:pPr>
              <w:spacing w:after="0" w:line="138" w:lineRule="exact"/>
              <w:rPr>
                <w:rFonts w:ascii="Arial" w:cs="Arial" w:eastAsia="Arial" w:hAnsi="Arial"/>
                <w:sz w:val="16"/>
                <w:szCs w:val="16"/>
                <w:color w:val="0000FF"/>
                <w:w w:val="95"/>
              </w:rPr>
            </w:pPr>
            <w:hyperlink r:id="rId101">
              <w:r>
                <w:rPr>
                  <w:rFonts w:ascii="Arial" w:cs="Arial" w:eastAsia="Arial" w:hAnsi="Arial"/>
                  <w:sz w:val="16"/>
                  <w:szCs w:val="16"/>
                  <w:color w:val="0000FF"/>
                  <w:w w:val="95"/>
                </w:rPr>
                <w:t>LLC and Rattler Ajax Processing LLC, as guarantors, and Wells Fargo Bank, National Association, as trustee (including the form of Rattler Midstream</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38"/>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900" w:type="dxa"/>
            <w:vAlign w:val="bottom"/>
            <w:tcBorders>
              <w:top w:val="single" w:sz="8" w:color="0000FF"/>
              <w:bottom w:val="single" w:sz="8" w:color="0000FF"/>
            </w:tcBorders>
            <w:gridSpan w:val="27"/>
            <w:shd w:val="clear" w:color="auto" w:fill="CCEEFF"/>
          </w:tcPr>
          <w:p>
            <w:pPr>
              <w:spacing w:after="0" w:line="138" w:lineRule="exact"/>
              <w:rPr>
                <w:rFonts w:ascii="Arial" w:cs="Arial" w:eastAsia="Arial" w:hAnsi="Arial"/>
                <w:sz w:val="16"/>
                <w:szCs w:val="16"/>
                <w:color w:val="0000FF"/>
                <w:w w:val="94"/>
              </w:rPr>
            </w:pPr>
            <w:hyperlink r:id="rId101">
              <w:r>
                <w:rPr>
                  <w:rFonts w:ascii="Arial" w:cs="Arial" w:eastAsia="Arial" w:hAnsi="Arial"/>
                  <w:sz w:val="16"/>
                  <w:szCs w:val="16"/>
                  <w:color w:val="0000FF"/>
                  <w:w w:val="94"/>
                </w:rPr>
                <w:t>LP’s 5.625% Senior Notes due 2025) (incorporated by reference to Exhibit 4.1 of the Registrant’s Current Report on Form 8-K (File No. 001-38919)</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58"/>
        </w:trPr>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480" w:type="dxa"/>
            <w:vAlign w:val="bottom"/>
            <w:tcBorders>
              <w:bottom w:val="single" w:sz="8" w:color="0000FF"/>
            </w:tcBorders>
            <w:gridSpan w:val="2"/>
            <w:shd w:val="clear" w:color="auto" w:fill="CCEEFF"/>
          </w:tcPr>
          <w:p>
            <w:pPr>
              <w:spacing w:after="0" w:line="138" w:lineRule="exact"/>
              <w:rPr>
                <w:rFonts w:ascii="Arial" w:cs="Arial" w:eastAsia="Arial" w:hAnsi="Arial"/>
                <w:sz w:val="16"/>
                <w:szCs w:val="16"/>
                <w:color w:val="0000FF"/>
                <w:w w:val="90"/>
              </w:rPr>
            </w:pPr>
            <w:hyperlink r:id="rId101">
              <w:r>
                <w:rPr>
                  <w:rFonts w:ascii="Arial" w:cs="Arial" w:eastAsia="Arial" w:hAnsi="Arial"/>
                  <w:sz w:val="16"/>
                  <w:szCs w:val="16"/>
                  <w:color w:val="0000FF"/>
                  <w:w w:val="90"/>
                </w:rPr>
                <w:t>filed on July 14, 2020).</w:t>
              </w:r>
            </w:hyperlink>
          </w:p>
        </w:tc>
        <w:tc>
          <w:tcPr>
            <w:tcW w:w="8540" w:type="dxa"/>
            <w:vAlign w:val="bottom"/>
            <w:tcBorders>
              <w:bottom w:val="single" w:sz="8" w:color="CCEEFF"/>
            </w:tcBorders>
            <w:gridSpan w:val="31"/>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4.4*</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5"/>
              </w:rPr>
            </w:pPr>
            <w:hyperlink w:anchor="page99">
              <w:r>
                <w:rPr>
                  <w:rFonts w:ascii="Arial" w:cs="Arial" w:eastAsia="Arial" w:hAnsi="Arial"/>
                  <w:sz w:val="16"/>
                  <w:szCs w:val="16"/>
                  <w:color w:val="0000FF"/>
                  <w:w w:val="95"/>
                </w:rPr>
                <w:t>Supplemental Indenture, dated as of December 8, 2021, among Rattler WTG LLC, as guaranteeing subsidiary, Rattler Midstream LP, as issuer, Rattler</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2"/>
          </w:tcPr>
          <w:p>
            <w:pPr>
              <w:spacing w:after="0" w:line="138" w:lineRule="exact"/>
              <w:rPr>
                <w:rFonts w:ascii="Arial" w:cs="Arial" w:eastAsia="Arial" w:hAnsi="Arial"/>
                <w:sz w:val="16"/>
                <w:szCs w:val="16"/>
                <w:color w:val="0000FF"/>
                <w:w w:val="95"/>
              </w:rPr>
            </w:pPr>
            <w:hyperlink w:anchor="page99">
              <w:r>
                <w:rPr>
                  <w:rFonts w:ascii="Arial" w:cs="Arial" w:eastAsia="Arial" w:hAnsi="Arial"/>
                  <w:sz w:val="16"/>
                  <w:szCs w:val="16"/>
                  <w:color w:val="0000FF"/>
                  <w:w w:val="95"/>
                </w:rPr>
                <w:t>Midstream Operating LLC, Tall City Towers LLC, Rattler OMOG LLC and Rattler Ajax Processing LLC, as the other guarantors, and Wells Fargo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Borders>
              <w:bottom w:val="single" w:sz="8" w:color="0000FF"/>
            </w:tcBorders>
            <w:gridSpan w:val="3"/>
          </w:tcPr>
          <w:p>
            <w:pPr>
              <w:spacing w:after="0" w:line="138" w:lineRule="exact"/>
              <w:rPr>
                <w:rFonts w:ascii="Arial" w:cs="Arial" w:eastAsia="Arial" w:hAnsi="Arial"/>
                <w:sz w:val="16"/>
                <w:szCs w:val="16"/>
                <w:color w:val="0000FF"/>
                <w:w w:val="89"/>
              </w:rPr>
            </w:pPr>
            <w:hyperlink w:anchor="page99">
              <w:r>
                <w:rPr>
                  <w:rFonts w:ascii="Arial" w:cs="Arial" w:eastAsia="Arial" w:hAnsi="Arial"/>
                  <w:sz w:val="16"/>
                  <w:szCs w:val="16"/>
                  <w:color w:val="0000FF"/>
                  <w:w w:val="89"/>
                </w:rPr>
                <w:t>Bank, National Association, as trustee.</w:t>
              </w:r>
            </w:hyperlink>
          </w:p>
        </w:tc>
        <w:tc>
          <w:tcPr>
            <w:tcW w:w="7420" w:type="dxa"/>
            <w:vAlign w:val="bottom"/>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4.5*</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6"/>
              </w:rPr>
            </w:pPr>
            <w:hyperlink w:anchor="page104">
              <w:r>
                <w:rPr>
                  <w:rFonts w:ascii="Arial" w:cs="Arial" w:eastAsia="Arial" w:hAnsi="Arial"/>
                  <w:sz w:val="16"/>
                  <w:szCs w:val="16"/>
                  <w:color w:val="0000FF"/>
                  <w:w w:val="96"/>
                </w:rPr>
                <w:t>Supplemental Indenture, dated as of December 22, 2021, among Rattler Holdings LLC, as guaranteeing subsidiary, Rattler Midstream LP, as issuer,</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3"/>
            <w:shd w:val="clear" w:color="auto" w:fill="CCEEFF"/>
          </w:tcPr>
          <w:p>
            <w:pPr>
              <w:spacing w:after="0" w:line="138" w:lineRule="exact"/>
              <w:rPr>
                <w:rFonts w:ascii="Arial" w:cs="Arial" w:eastAsia="Arial" w:hAnsi="Arial"/>
                <w:sz w:val="16"/>
                <w:szCs w:val="16"/>
                <w:color w:val="0000FF"/>
                <w:w w:val="95"/>
              </w:rPr>
            </w:pPr>
            <w:hyperlink w:anchor="page104">
              <w:r>
                <w:rPr>
                  <w:rFonts w:ascii="Arial" w:cs="Arial" w:eastAsia="Arial" w:hAnsi="Arial"/>
                  <w:sz w:val="16"/>
                  <w:szCs w:val="16"/>
                  <w:color w:val="0000FF"/>
                  <w:w w:val="95"/>
                </w:rPr>
                <w:t>Rattler Midstream Operating LLC, Tall City Towers LLC, Rattler OMOG LLC and Rattler Ajax Processing LLC, as the other guarantors, and Wells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58"/>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860" w:type="dxa"/>
            <w:vAlign w:val="bottom"/>
            <w:tcBorders>
              <w:top w:val="single" w:sz="8" w:color="0000FF"/>
              <w:bottom w:val="single" w:sz="8" w:color="0000FF"/>
            </w:tcBorders>
            <w:gridSpan w:val="4"/>
            <w:shd w:val="clear" w:color="auto" w:fill="CCEEFF"/>
          </w:tcPr>
          <w:p>
            <w:pPr>
              <w:spacing w:after="0" w:line="138" w:lineRule="exact"/>
              <w:rPr>
                <w:rFonts w:ascii="Arial" w:cs="Arial" w:eastAsia="Arial" w:hAnsi="Arial"/>
                <w:sz w:val="16"/>
                <w:szCs w:val="16"/>
                <w:color w:val="0000FF"/>
                <w:w w:val="88"/>
              </w:rPr>
            </w:pPr>
            <w:hyperlink w:anchor="page104">
              <w:r>
                <w:rPr>
                  <w:rFonts w:ascii="Arial" w:cs="Arial" w:eastAsia="Arial" w:hAnsi="Arial"/>
                  <w:sz w:val="16"/>
                  <w:szCs w:val="16"/>
                  <w:color w:val="0000FF"/>
                  <w:w w:val="88"/>
                </w:rPr>
                <w:t>Fargo Bank, National Association, as trustee.</w:t>
              </w:r>
            </w:hyperlink>
          </w:p>
        </w:tc>
        <w:tc>
          <w:tcPr>
            <w:tcW w:w="6900" w:type="dxa"/>
            <w:vAlign w:val="bottom"/>
            <w:tcBorders>
              <w:top w:val="single" w:sz="8" w:color="0000FF"/>
              <w:bottom w:val="single" w:sz="8" w:color="CCEEFF"/>
            </w:tcBorders>
            <w:gridSpan w:val="1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rPr>
            </w:pPr>
            <w:hyperlink r:id="rId102">
              <w:r>
                <w:rPr>
                  <w:rFonts w:ascii="Arial" w:cs="Arial" w:eastAsia="Arial" w:hAnsi="Arial"/>
                  <w:sz w:val="16"/>
                  <w:szCs w:val="16"/>
                  <w:color w:val="0000FF"/>
                </w:rPr>
                <w:t>Gas Gathering and Compression Agreement by and between Diamondback E&amp;P LLC and Rattler Midstream Operating LLC (formerly Rattler</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18"/>
          </w:tcPr>
          <w:p>
            <w:pPr>
              <w:spacing w:after="0" w:line="138" w:lineRule="exact"/>
              <w:rPr>
                <w:rFonts w:ascii="Arial" w:cs="Arial" w:eastAsia="Arial" w:hAnsi="Arial"/>
                <w:sz w:val="16"/>
                <w:szCs w:val="16"/>
                <w:color w:val="0000FF"/>
                <w:w w:val="95"/>
              </w:rPr>
            </w:pPr>
            <w:hyperlink r:id="rId102">
              <w:r>
                <w:rPr>
                  <w:rFonts w:ascii="Arial" w:cs="Arial" w:eastAsia="Arial" w:hAnsi="Arial"/>
                  <w:sz w:val="16"/>
                  <w:szCs w:val="16"/>
                  <w:color w:val="0000FF"/>
                  <w:w w:val="95"/>
                </w:rPr>
                <w:t>Midstream LLC), effective as of January 1, 2018 (incorporated by reference to Exhibit 10.4 of Amendment No. 6 to the Registrant’s Registration</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0" w:type="dxa"/>
            <w:vAlign w:val="bottom"/>
            <w:tcBorders>
              <w:bottom w:val="single" w:sz="8" w:color="0000FF"/>
            </w:tcBorders>
            <w:gridSpan w:val="5"/>
          </w:tcPr>
          <w:p>
            <w:pPr>
              <w:spacing w:after="0" w:line="138" w:lineRule="exact"/>
              <w:rPr>
                <w:rFonts w:ascii="Arial" w:cs="Arial" w:eastAsia="Arial" w:hAnsi="Arial"/>
                <w:sz w:val="16"/>
                <w:szCs w:val="16"/>
                <w:color w:val="0000FF"/>
                <w:w w:val="90"/>
              </w:rPr>
            </w:pPr>
            <w:hyperlink r:id="rId102">
              <w:r>
                <w:rPr>
                  <w:rFonts w:ascii="Arial" w:cs="Arial" w:eastAsia="Arial" w:hAnsi="Arial"/>
                  <w:sz w:val="16"/>
                  <w:szCs w:val="16"/>
                  <w:color w:val="0000FF"/>
                  <w:w w:val="90"/>
                </w:rPr>
                <w:t>Statement on Form S-1 (File No. 333-226645) filed on May 6, 2019).</w:t>
              </w:r>
            </w:hyperlink>
          </w:p>
        </w:tc>
        <w:tc>
          <w:tcPr>
            <w:tcW w:w="544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10.2</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9"/>
              </w:rPr>
            </w:pPr>
            <w:hyperlink r:id="rId103">
              <w:r>
                <w:rPr>
                  <w:rFonts w:ascii="Arial" w:cs="Arial" w:eastAsia="Arial" w:hAnsi="Arial"/>
                  <w:sz w:val="16"/>
                  <w:szCs w:val="16"/>
                  <w:color w:val="0000FF"/>
                  <w:w w:val="99"/>
                </w:rPr>
                <w:t>First Amendment to Gas Gathering and Compression Agreement by and between Diamondback E&amp;P LLC and Rattler Midstream Operating LLC</w:t>
              </w:r>
            </w:hyperlink>
          </w:p>
        </w:tc>
      </w:tr>
      <w:tr>
        <w:trPr>
          <w:trHeight w:val="138"/>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40" w:type="dxa"/>
            <w:vAlign w:val="bottom"/>
            <w:tcBorders>
              <w:top w:val="single" w:sz="8" w:color="0000FF"/>
              <w:bottom w:val="single" w:sz="8" w:color="0000FF"/>
            </w:tcBorders>
            <w:gridSpan w:val="19"/>
            <w:shd w:val="clear" w:color="auto" w:fill="CCEEFF"/>
          </w:tcPr>
          <w:p>
            <w:pPr>
              <w:spacing w:after="0" w:line="138" w:lineRule="exact"/>
              <w:rPr>
                <w:rFonts w:ascii="Arial" w:cs="Arial" w:eastAsia="Arial" w:hAnsi="Arial"/>
                <w:sz w:val="16"/>
                <w:szCs w:val="16"/>
                <w:color w:val="0000FF"/>
                <w:w w:val="99"/>
              </w:rPr>
            </w:pPr>
            <w:hyperlink r:id="rId103">
              <w:r>
                <w:rPr>
                  <w:rFonts w:ascii="Arial" w:cs="Arial" w:eastAsia="Arial" w:hAnsi="Arial"/>
                  <w:sz w:val="16"/>
                  <w:szCs w:val="16"/>
                  <w:color w:val="0000FF"/>
                  <w:w w:val="99"/>
                </w:rPr>
                <w:t>(formerly Rattler Midstream LLC), effective as of September 5, 2018 (incorporated by reference to Exhibit 10.5 of Amendment No. 3 to the</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38"/>
        </w:trPr>
        <w:tc>
          <w:tcPr>
            <w:tcW w:w="13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120" w:type="dxa"/>
            <w:vAlign w:val="bottom"/>
            <w:gridSpan w:val="38"/>
            <w:shd w:val="clear" w:color="auto" w:fill="CCEEFF"/>
          </w:tcPr>
          <w:p>
            <w:pPr>
              <w:spacing w:after="0" w:line="138" w:lineRule="exact"/>
              <w:rPr>
                <w:rFonts w:ascii="Arial" w:cs="Arial" w:eastAsia="Arial" w:hAnsi="Arial"/>
                <w:sz w:val="16"/>
                <w:szCs w:val="16"/>
                <w:color w:val="0000FF"/>
              </w:rPr>
            </w:pPr>
            <w:hyperlink r:id="rId103">
              <w:r>
                <w:rPr>
                  <w:rFonts w:ascii="Arial" w:cs="Arial" w:eastAsia="Arial" w:hAnsi="Arial"/>
                  <w:sz w:val="16"/>
                  <w:szCs w:val="16"/>
                  <w:color w:val="0000FF"/>
                </w:rPr>
                <w:t>Registrant’s Registration Statement on Form S-1 (File No. 333-226645) filed on February 20, 2019).</w:t>
              </w:r>
            </w:hyperlink>
          </w:p>
        </w:tc>
        <w:tc>
          <w:tcPr>
            <w:tcW w:w="40" w:type="dxa"/>
            <w:vAlign w:val="bottom"/>
            <w:gridSpan w:val="2"/>
            <w:shd w:val="clear" w:color="auto" w:fill="CCEEFF"/>
          </w:tcPr>
          <w:p>
            <w:pPr>
              <w:spacing w:after="0"/>
              <w:rPr>
                <w:sz w:val="12"/>
                <w:szCs w:val="12"/>
                <w:color w:val="auto"/>
              </w:rPr>
            </w:pPr>
          </w:p>
        </w:tc>
      </w:tr>
      <w:tr>
        <w:trPr>
          <w:trHeight w:val="40"/>
        </w:trPr>
        <w:tc>
          <w:tcPr>
            <w:tcW w:w="13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10.3^</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7"/>
              </w:rPr>
            </w:pPr>
            <w:hyperlink r:id="rId104">
              <w:r>
                <w:rPr>
                  <w:rFonts w:ascii="Arial" w:cs="Arial" w:eastAsia="Arial" w:hAnsi="Arial"/>
                  <w:sz w:val="16"/>
                  <w:szCs w:val="16"/>
                  <w:color w:val="0000FF"/>
                  <w:w w:val="97"/>
                </w:rPr>
                <w:t>Second Amendment to Gas Gathering and Compression Agreement by and between Diamondback E&amp;P LLC, Diamondback O&amp;G LLC and Rattler</w:t>
              </w:r>
            </w:hyperlink>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2" w:lineRule="exact"/>
              <w:rPr>
                <w:rFonts w:ascii="Arial" w:cs="Arial" w:eastAsia="Arial" w:hAnsi="Arial"/>
                <w:sz w:val="16"/>
                <w:szCs w:val="16"/>
                <w:color w:val="0000FF"/>
                <w:w w:val="94"/>
              </w:rPr>
            </w:pPr>
            <w:hyperlink r:id="rId104">
              <w:r>
                <w:rPr>
                  <w:rFonts w:ascii="Arial" w:cs="Arial" w:eastAsia="Arial" w:hAnsi="Arial"/>
                  <w:sz w:val="16"/>
                  <w:szCs w:val="16"/>
                  <w:color w:val="0000FF"/>
                  <w:w w:val="94"/>
                </w:rPr>
                <w:t>Midstream Operating LLC (formerly Rattler Midstream LLC), effective as of May 5, 2020 (incorporated by reference to Exhibit 10.3 of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04">
              <w:r>
                <w:rPr>
                  <w:rFonts w:ascii="Arial" w:cs="Arial" w:eastAsia="Arial" w:hAnsi="Arial"/>
                  <w:sz w:val="16"/>
                  <w:szCs w:val="16"/>
                  <w:color w:val="0000FF"/>
                </w:rPr>
                <w:t>Quarterly Report on Form 10-Q (File No. 001-38919) filed on May 8, 2020).</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3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10.4^</w:t>
            </w:r>
          </w:p>
        </w:tc>
        <w:tc>
          <w:tcPr>
            <w:tcW w:w="160" w:type="dxa"/>
            <w:vAlign w:val="bottom"/>
            <w:tcBorders>
              <w:right w:val="single" w:sz="8" w:color="CCEEFF"/>
            </w:tcBorders>
            <w:shd w:val="clear" w:color="auto" w:fill="CCEEFF"/>
          </w:tcPr>
          <w:p>
            <w:pPr>
              <w:spacing w:after="0"/>
              <w:rPr>
                <w:sz w:val="14"/>
                <w:szCs w:val="14"/>
                <w:color w:val="auto"/>
              </w:rPr>
            </w:pPr>
          </w:p>
        </w:tc>
        <w:tc>
          <w:tcPr>
            <w:tcW w:w="10160" w:type="dxa"/>
            <w:vAlign w:val="bottom"/>
            <w:gridSpan w:val="40"/>
            <w:shd w:val="clear" w:color="auto" w:fill="CCEEFF"/>
          </w:tcPr>
          <w:p>
            <w:pPr>
              <w:spacing w:after="0" w:line="171" w:lineRule="exact"/>
              <w:rPr>
                <w:rFonts w:ascii="Arial" w:cs="Arial" w:eastAsia="Arial" w:hAnsi="Arial"/>
                <w:sz w:val="16"/>
                <w:szCs w:val="16"/>
                <w:color w:val="0000FF"/>
                <w:w w:val="98"/>
              </w:rPr>
            </w:pPr>
            <w:hyperlink r:id="rId105">
              <w:r>
                <w:rPr>
                  <w:rFonts w:ascii="Arial" w:cs="Arial" w:eastAsia="Arial" w:hAnsi="Arial"/>
                  <w:sz w:val="16"/>
                  <w:szCs w:val="16"/>
                  <w:color w:val="0000FF"/>
                  <w:w w:val="98"/>
                </w:rPr>
                <w:t>Amended and Restated Crude Oil Gathering Agreement by and between Diamondback E&amp;P LLC and Rattler Midstream Operating LLC (formerly</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16"/>
            <w:shd w:val="clear" w:color="auto" w:fill="CCEEFF"/>
          </w:tcPr>
          <w:p>
            <w:pPr>
              <w:spacing w:after="0" w:line="138" w:lineRule="exact"/>
              <w:rPr>
                <w:rFonts w:ascii="Arial" w:cs="Arial" w:eastAsia="Arial" w:hAnsi="Arial"/>
                <w:sz w:val="16"/>
                <w:szCs w:val="16"/>
                <w:color w:val="0000FF"/>
                <w:w w:val="90"/>
              </w:rPr>
            </w:pPr>
            <w:hyperlink r:id="rId105">
              <w:r>
                <w:rPr>
                  <w:rFonts w:ascii="Arial" w:cs="Arial" w:eastAsia="Arial" w:hAnsi="Arial"/>
                  <w:sz w:val="16"/>
                  <w:szCs w:val="16"/>
                  <w:color w:val="0000FF"/>
                  <w:w w:val="90"/>
                </w:rPr>
                <w:t>Rattler Midstream LLC), effective as of January 1, 2018 (incorporated by reference to Exhibit 10.6 of Amendment No. 6 to the Registrant’s Registration</w:t>
              </w:r>
            </w:hyperlink>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58"/>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400" w:type="dxa"/>
            <w:vAlign w:val="bottom"/>
            <w:tcBorders>
              <w:top w:val="single" w:sz="8" w:color="0000FF"/>
              <w:bottom w:val="single" w:sz="8" w:color="0000FF"/>
            </w:tcBorders>
            <w:gridSpan w:val="5"/>
            <w:shd w:val="clear" w:color="auto" w:fill="CCEEFF"/>
          </w:tcPr>
          <w:p>
            <w:pPr>
              <w:spacing w:after="0" w:line="138" w:lineRule="exact"/>
              <w:rPr>
                <w:rFonts w:ascii="Arial" w:cs="Arial" w:eastAsia="Arial" w:hAnsi="Arial"/>
                <w:sz w:val="16"/>
                <w:szCs w:val="16"/>
                <w:color w:val="0000FF"/>
                <w:w w:val="90"/>
              </w:rPr>
            </w:pPr>
            <w:hyperlink r:id="rId105">
              <w:r>
                <w:rPr>
                  <w:rFonts w:ascii="Arial" w:cs="Arial" w:eastAsia="Arial" w:hAnsi="Arial"/>
                  <w:sz w:val="16"/>
                  <w:szCs w:val="16"/>
                  <w:color w:val="0000FF"/>
                  <w:w w:val="90"/>
                </w:rPr>
                <w:t>Statement on Form S-1 (File No. 333-226645) filed on May 6, 2019).</w:t>
              </w:r>
            </w:hyperlink>
          </w:p>
        </w:tc>
        <w:tc>
          <w:tcPr>
            <w:tcW w:w="5720" w:type="dxa"/>
            <w:vAlign w:val="bottom"/>
            <w:tcBorders>
              <w:top w:val="single" w:sz="8" w:color="0000FF"/>
              <w:bottom w:val="single" w:sz="8" w:color="CCEEFF"/>
            </w:tcBorders>
            <w:gridSpan w:val="3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10.5^</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4"/>
              </w:rPr>
            </w:pPr>
            <w:hyperlink r:id="rId106">
              <w:r>
                <w:rPr>
                  <w:rFonts w:ascii="Arial" w:cs="Arial" w:eastAsia="Arial" w:hAnsi="Arial"/>
                  <w:sz w:val="16"/>
                  <w:szCs w:val="16"/>
                  <w:color w:val="0000FF"/>
                  <w:w w:val="94"/>
                </w:rPr>
                <w:t>First Amendment to Amended and Restated Crude Oil Gathering Agreement by and between Diamondback E&amp;P LLC, Energen Resources Corporation,</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60" w:type="dxa"/>
            <w:vAlign w:val="bottom"/>
            <w:tcBorders>
              <w:top w:val="single" w:sz="8" w:color="0000FF"/>
            </w:tcBorders>
            <w:gridSpan w:val="25"/>
          </w:tcPr>
          <w:p>
            <w:pPr>
              <w:spacing w:after="0" w:line="138" w:lineRule="exact"/>
              <w:rPr>
                <w:rFonts w:ascii="Arial" w:cs="Arial" w:eastAsia="Arial" w:hAnsi="Arial"/>
                <w:sz w:val="16"/>
                <w:szCs w:val="16"/>
                <w:color w:val="0000FF"/>
                <w:w w:val="99"/>
              </w:rPr>
            </w:pPr>
            <w:hyperlink r:id="rId106">
              <w:r>
                <w:rPr>
                  <w:rFonts w:ascii="Arial" w:cs="Arial" w:eastAsia="Arial" w:hAnsi="Arial"/>
                  <w:sz w:val="16"/>
                  <w:szCs w:val="16"/>
                  <w:color w:val="0000FF"/>
                  <w:w w:val="99"/>
                </w:rPr>
                <w:t>Diamondback O&amp;G LLC and Rattler Midstream Operating LLC, effective as of May 5, 2020 (incorporated by reference to Exhibit 10.2 of the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20" w:type="dxa"/>
            <w:vAlign w:val="bottom"/>
            <w:tcBorders>
              <w:top w:val="single" w:sz="8" w:color="0000FF"/>
            </w:tcBorders>
            <w:gridSpan w:val="23"/>
          </w:tcPr>
          <w:p>
            <w:pPr>
              <w:spacing w:after="0" w:line="138" w:lineRule="exact"/>
              <w:rPr>
                <w:rFonts w:ascii="Arial" w:cs="Arial" w:eastAsia="Arial" w:hAnsi="Arial"/>
                <w:sz w:val="16"/>
                <w:szCs w:val="16"/>
                <w:color w:val="0000FF"/>
              </w:rPr>
            </w:pPr>
            <w:hyperlink r:id="rId106">
              <w:r>
                <w:rPr>
                  <w:rFonts w:ascii="Arial" w:cs="Arial" w:eastAsia="Arial" w:hAnsi="Arial"/>
                  <w:sz w:val="16"/>
                  <w:szCs w:val="16"/>
                  <w:color w:val="0000FF"/>
                </w:rPr>
                <w:t>Registrant’s Quarterly Report on Form 10-Q (File No. 001-38919) filed on May 8, 2020).</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30"/>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10.6^</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9"/>
              </w:rPr>
            </w:pPr>
            <w:hyperlink r:id="rId107">
              <w:r>
                <w:rPr>
                  <w:rFonts w:ascii="Arial" w:cs="Arial" w:eastAsia="Arial" w:hAnsi="Arial"/>
                  <w:sz w:val="16"/>
                  <w:szCs w:val="16"/>
                  <w:color w:val="0000FF"/>
                  <w:w w:val="99"/>
                </w:rPr>
                <w:t>Amended and Restated Produced and Flowback Water Gathering and Disposal Agreement by and between Diamondback E&amp;P LLC and Rattler</w:t>
              </w:r>
            </w:hyperlink>
          </w:p>
        </w:tc>
      </w:tr>
      <w:tr>
        <w:trPr>
          <w:trHeight w:val="138"/>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0000" w:type="dxa"/>
            <w:vAlign w:val="bottom"/>
            <w:tcBorders>
              <w:top w:val="single" w:sz="8" w:color="0000FF"/>
              <w:bottom w:val="single" w:sz="8" w:color="0000FF"/>
            </w:tcBorders>
            <w:gridSpan w:val="32"/>
            <w:shd w:val="clear" w:color="auto" w:fill="CCEEFF"/>
          </w:tcPr>
          <w:p>
            <w:pPr>
              <w:spacing w:after="0" w:line="138" w:lineRule="exact"/>
              <w:rPr>
                <w:rFonts w:ascii="Arial" w:cs="Arial" w:eastAsia="Arial" w:hAnsi="Arial"/>
                <w:sz w:val="16"/>
                <w:szCs w:val="16"/>
                <w:color w:val="0000FF"/>
                <w:w w:val="94"/>
              </w:rPr>
            </w:pPr>
            <w:hyperlink r:id="rId107">
              <w:r>
                <w:rPr>
                  <w:rFonts w:ascii="Arial" w:cs="Arial" w:eastAsia="Arial" w:hAnsi="Arial"/>
                  <w:sz w:val="16"/>
                  <w:szCs w:val="16"/>
                  <w:color w:val="0000FF"/>
                  <w:w w:val="94"/>
                </w:rPr>
                <w:t>Midstream Operating LLC (formerly Rattler Midstream LLC), effective as of January 1, 2018 (incorporated by reference to Exhibit 10.7 of Amendment</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58"/>
        </w:trPr>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6800" w:type="dxa"/>
            <w:vAlign w:val="bottom"/>
            <w:tcBorders>
              <w:bottom w:val="single" w:sz="8" w:color="0000FF"/>
            </w:tcBorders>
            <w:gridSpan w:val="10"/>
            <w:shd w:val="clear" w:color="auto" w:fill="CCEEFF"/>
          </w:tcPr>
          <w:p>
            <w:pPr>
              <w:spacing w:after="0" w:line="138" w:lineRule="exact"/>
              <w:rPr>
                <w:rFonts w:ascii="Arial" w:cs="Arial" w:eastAsia="Arial" w:hAnsi="Arial"/>
                <w:sz w:val="16"/>
                <w:szCs w:val="16"/>
                <w:color w:val="0000FF"/>
                <w:w w:val="90"/>
              </w:rPr>
            </w:pPr>
            <w:hyperlink r:id="rId107">
              <w:r>
                <w:rPr>
                  <w:rFonts w:ascii="Arial" w:cs="Arial" w:eastAsia="Arial" w:hAnsi="Arial"/>
                  <w:sz w:val="16"/>
                  <w:szCs w:val="16"/>
                  <w:color w:val="0000FF"/>
                  <w:w w:val="90"/>
                </w:rPr>
                <w:t>No. 6 to the Registrant’s Registration Statement on Form S-1 (File No. 333-226645) filed on May 6, 2019).</w:t>
              </w:r>
            </w:hyperlink>
          </w:p>
        </w:tc>
        <w:tc>
          <w:tcPr>
            <w:tcW w:w="3300" w:type="dxa"/>
            <w:vAlign w:val="bottom"/>
            <w:tcBorders>
              <w:bottom w:val="single" w:sz="8" w:color="CCEEFF"/>
            </w:tcBorders>
            <w:gridSpan w:val="27"/>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10.7^</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6"/>
              </w:rPr>
            </w:pPr>
            <w:hyperlink r:id="rId108">
              <w:r>
                <w:rPr>
                  <w:rFonts w:ascii="Arial" w:cs="Arial" w:eastAsia="Arial" w:hAnsi="Arial"/>
                  <w:sz w:val="16"/>
                  <w:szCs w:val="16"/>
                  <w:color w:val="0000FF"/>
                  <w:w w:val="96"/>
                </w:rPr>
                <w:t>First Amendment to Amended and Restated Produced and Flowback Water Gathering and Disposal Agreement by and between Diamondback E&amp;P</w:t>
              </w:r>
            </w:hyperlink>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80" w:type="dxa"/>
            <w:vAlign w:val="bottom"/>
            <w:tcBorders>
              <w:top w:val="single" w:sz="8" w:color="0000FF"/>
            </w:tcBorders>
            <w:gridSpan w:val="31"/>
          </w:tcPr>
          <w:p>
            <w:pPr>
              <w:spacing w:after="0" w:line="152" w:lineRule="exact"/>
              <w:rPr>
                <w:rFonts w:ascii="Arial" w:cs="Arial" w:eastAsia="Arial" w:hAnsi="Arial"/>
                <w:sz w:val="16"/>
                <w:szCs w:val="16"/>
                <w:color w:val="0000FF"/>
                <w:w w:val="95"/>
              </w:rPr>
            </w:pPr>
            <w:hyperlink r:id="rId108">
              <w:r>
                <w:rPr>
                  <w:rFonts w:ascii="Arial" w:cs="Arial" w:eastAsia="Arial" w:hAnsi="Arial"/>
                  <w:sz w:val="16"/>
                  <w:szCs w:val="16"/>
                  <w:color w:val="0000FF"/>
                  <w:w w:val="95"/>
                </w:rPr>
                <w:t>LLC, Energen Resources Corporation, Diamondback O&amp;G LLC and Rattler Midstream Operating LLC, effective as of May 5, 2020 (incorporated by</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08">
              <w:r>
                <w:rPr>
                  <w:rFonts w:ascii="Arial" w:cs="Arial" w:eastAsia="Arial" w:hAnsi="Arial"/>
                  <w:sz w:val="16"/>
                  <w:szCs w:val="16"/>
                  <w:color w:val="0000FF"/>
                </w:rPr>
                <w:t>reference to Exhibit 10.4 of the Registrant’s Quarterly Report on Form 10-Q (File No. 001-38919) filed on May 8,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3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10.8^</w:t>
            </w:r>
          </w:p>
        </w:tc>
        <w:tc>
          <w:tcPr>
            <w:tcW w:w="160" w:type="dxa"/>
            <w:vAlign w:val="bottom"/>
            <w:tcBorders>
              <w:right w:val="single" w:sz="8" w:color="CCEEFF"/>
            </w:tcBorders>
            <w:shd w:val="clear" w:color="auto" w:fill="CCEEFF"/>
          </w:tcPr>
          <w:p>
            <w:pPr>
              <w:spacing w:after="0"/>
              <w:rPr>
                <w:sz w:val="14"/>
                <w:szCs w:val="14"/>
                <w:color w:val="auto"/>
              </w:rPr>
            </w:pPr>
          </w:p>
        </w:tc>
        <w:tc>
          <w:tcPr>
            <w:tcW w:w="10160" w:type="dxa"/>
            <w:vAlign w:val="bottom"/>
            <w:gridSpan w:val="40"/>
            <w:shd w:val="clear" w:color="auto" w:fill="CCEEFF"/>
          </w:tcPr>
          <w:p>
            <w:pPr>
              <w:spacing w:after="0" w:line="171" w:lineRule="exact"/>
              <w:rPr>
                <w:rFonts w:ascii="Arial" w:cs="Arial" w:eastAsia="Arial" w:hAnsi="Arial"/>
                <w:sz w:val="16"/>
                <w:szCs w:val="16"/>
                <w:color w:val="0000FF"/>
              </w:rPr>
            </w:pPr>
            <w:hyperlink r:id="rId109">
              <w:r>
                <w:rPr>
                  <w:rFonts w:ascii="Arial" w:cs="Arial" w:eastAsia="Arial" w:hAnsi="Arial"/>
                  <w:sz w:val="16"/>
                  <w:szCs w:val="16"/>
                  <w:color w:val="0000FF"/>
                </w:rPr>
                <w:t>Freshwater Purchase and Services Agreement by and between Diamondback E&amp;P LLC and Rattler Midstream Operating LLC (formerly Rattler</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28"/>
            <w:shd w:val="clear" w:color="auto" w:fill="CCEEFF"/>
          </w:tcPr>
          <w:p>
            <w:pPr>
              <w:spacing w:after="0" w:line="138" w:lineRule="exact"/>
              <w:rPr>
                <w:rFonts w:ascii="Arial" w:cs="Arial" w:eastAsia="Arial" w:hAnsi="Arial"/>
                <w:sz w:val="16"/>
                <w:szCs w:val="16"/>
                <w:color w:val="0000FF"/>
                <w:w w:val="97"/>
              </w:rPr>
            </w:pPr>
            <w:hyperlink r:id="rId109">
              <w:r>
                <w:rPr>
                  <w:rFonts w:ascii="Arial" w:cs="Arial" w:eastAsia="Arial" w:hAnsi="Arial"/>
                  <w:sz w:val="16"/>
                  <w:szCs w:val="16"/>
                  <w:color w:val="0000FF"/>
                  <w:w w:val="97"/>
                </w:rPr>
                <w:t>Midstream LLC), effective as of January 1, 2018 (incorporated by reference to Exhibit 10.8 of Amendment No. 6 to the Registrant’s Registration</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158"/>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400" w:type="dxa"/>
            <w:vAlign w:val="bottom"/>
            <w:tcBorders>
              <w:top w:val="single" w:sz="8" w:color="0000FF"/>
              <w:bottom w:val="single" w:sz="8" w:color="0000FF"/>
            </w:tcBorders>
            <w:gridSpan w:val="5"/>
            <w:shd w:val="clear" w:color="auto" w:fill="CCEEFF"/>
          </w:tcPr>
          <w:p>
            <w:pPr>
              <w:spacing w:after="0" w:line="138" w:lineRule="exact"/>
              <w:rPr>
                <w:rFonts w:ascii="Arial" w:cs="Arial" w:eastAsia="Arial" w:hAnsi="Arial"/>
                <w:sz w:val="16"/>
                <w:szCs w:val="16"/>
                <w:color w:val="0000FF"/>
                <w:w w:val="90"/>
              </w:rPr>
            </w:pPr>
            <w:hyperlink r:id="rId109">
              <w:r>
                <w:rPr>
                  <w:rFonts w:ascii="Arial" w:cs="Arial" w:eastAsia="Arial" w:hAnsi="Arial"/>
                  <w:sz w:val="16"/>
                  <w:szCs w:val="16"/>
                  <w:color w:val="0000FF"/>
                  <w:w w:val="90"/>
                </w:rPr>
                <w:t>Statement on Form S-1 (File No. 333-226645) filed on May 6, 2019).</w:t>
              </w:r>
            </w:hyperlink>
          </w:p>
        </w:tc>
        <w:tc>
          <w:tcPr>
            <w:tcW w:w="5440" w:type="dxa"/>
            <w:vAlign w:val="bottom"/>
            <w:tcBorders>
              <w:top w:val="single" w:sz="8" w:color="0000FF"/>
              <w:bottom w:val="single" w:sz="8" w:color="CCEEFF"/>
            </w:tcBorders>
            <w:gridSpan w:val="19"/>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10.9^</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First Amendment to Freshwater Purchase and Services Agreement by and between Diamondback E&amp;P LLC, Diamondback O&amp;G LLC and Rattler</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940" w:type="dxa"/>
            <w:vAlign w:val="bottom"/>
            <w:tcBorders>
              <w:top w:val="single" w:sz="8" w:color="0000FF"/>
            </w:tcBorders>
            <w:gridSpan w:val="29"/>
          </w:tcPr>
          <w:p>
            <w:pPr>
              <w:spacing w:after="0" w:line="138" w:lineRule="exact"/>
              <w:rPr>
                <w:rFonts w:ascii="Arial" w:cs="Arial" w:eastAsia="Arial" w:hAnsi="Arial"/>
                <w:sz w:val="16"/>
                <w:szCs w:val="16"/>
                <w:color w:val="0000FF"/>
                <w:w w:val="94"/>
              </w:rPr>
            </w:pPr>
            <w:hyperlink r:id="rId110">
              <w:r>
                <w:rPr>
                  <w:rFonts w:ascii="Arial" w:cs="Arial" w:eastAsia="Arial" w:hAnsi="Arial"/>
                  <w:sz w:val="16"/>
                  <w:szCs w:val="16"/>
                  <w:color w:val="0000FF"/>
                  <w:w w:val="94"/>
                </w:rPr>
                <w:t>Midstream Operating LLC (formerly Rattler Midstream LLC), effective as of May 5, 2020 (incorporated by reference to Exhibit 10.5 of the Registrant’s</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80" w:type="dxa"/>
            <w:vAlign w:val="bottom"/>
            <w:tcBorders>
              <w:top w:val="single" w:sz="8" w:color="0000FF"/>
            </w:tcBorders>
            <w:gridSpan w:val="21"/>
          </w:tcPr>
          <w:p>
            <w:pPr>
              <w:spacing w:after="0" w:line="138" w:lineRule="exact"/>
              <w:rPr>
                <w:rFonts w:ascii="Arial" w:cs="Arial" w:eastAsia="Arial" w:hAnsi="Arial"/>
                <w:sz w:val="16"/>
                <w:szCs w:val="16"/>
                <w:color w:val="0000FF"/>
              </w:rPr>
            </w:pPr>
            <w:hyperlink r:id="rId110">
              <w:r>
                <w:rPr>
                  <w:rFonts w:ascii="Arial" w:cs="Arial" w:eastAsia="Arial" w:hAnsi="Arial"/>
                  <w:sz w:val="16"/>
                  <w:szCs w:val="16"/>
                  <w:color w:val="0000FF"/>
                </w:rPr>
                <w:t>Quarterly Report on Form 10-Q (File No. 001-38919) filed on May 8, 2020).</w:t>
              </w:r>
            </w:hyperlink>
          </w:p>
        </w:tc>
        <w:tc>
          <w:tcPr>
            <w:tcW w:w="26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30"/>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10.10</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7"/>
              </w:rPr>
            </w:pPr>
            <w:hyperlink r:id="rId111">
              <w:r>
                <w:rPr>
                  <w:rFonts w:ascii="Arial" w:cs="Arial" w:eastAsia="Arial" w:hAnsi="Arial"/>
                  <w:sz w:val="16"/>
                  <w:szCs w:val="16"/>
                  <w:color w:val="0000FF"/>
                  <w:w w:val="97"/>
                </w:rPr>
                <w:t>Credit Agreement, dated as of May 28, 2019, by and among Rattler Midstream Operating LLC, as borrower, Rattler Midstream LP, as parent, Wells</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15"/>
            <w:shd w:val="clear" w:color="auto" w:fill="CCEEFF"/>
          </w:tcPr>
          <w:p>
            <w:pPr>
              <w:spacing w:after="0" w:line="138" w:lineRule="exact"/>
              <w:rPr>
                <w:rFonts w:ascii="Arial" w:cs="Arial" w:eastAsia="Arial" w:hAnsi="Arial"/>
                <w:sz w:val="16"/>
                <w:szCs w:val="16"/>
                <w:color w:val="0000FF"/>
                <w:w w:val="90"/>
              </w:rPr>
            </w:pPr>
            <w:hyperlink r:id="rId111">
              <w:r>
                <w:rPr>
                  <w:rFonts w:ascii="Arial" w:cs="Arial" w:eastAsia="Arial" w:hAnsi="Arial"/>
                  <w:sz w:val="16"/>
                  <w:szCs w:val="16"/>
                  <w:color w:val="0000FF"/>
                  <w:w w:val="90"/>
                </w:rPr>
                <w:t>Fargo Bank, National Association, as the administrative agent, and certain lenders from time to time party thereto (incorporated by reference to Exhibit</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340" w:type="dxa"/>
            <w:vAlign w:val="bottom"/>
            <w:tcBorders>
              <w:top w:val="single" w:sz="8" w:color="CCEEFF"/>
            </w:tcBorders>
            <w:gridSpan w:val="1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37"/>
            <w:shd w:val="clear" w:color="auto" w:fill="CCEEFF"/>
          </w:tcPr>
          <w:p>
            <w:pPr>
              <w:spacing w:after="0" w:line="138" w:lineRule="exact"/>
              <w:rPr>
                <w:rFonts w:ascii="Arial" w:cs="Arial" w:eastAsia="Arial" w:hAnsi="Arial"/>
                <w:sz w:val="16"/>
                <w:szCs w:val="16"/>
                <w:color w:val="0000FF"/>
              </w:rPr>
            </w:pPr>
            <w:hyperlink r:id="rId111">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of the Registrant’s Current Report on Form 8-K (File 001-38919) filed on May 29, 2019).</w:t>
              </w:r>
            </w:hyperlink>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40"/>
        </w:trPr>
        <w:tc>
          <w:tcPr>
            <w:tcW w:w="13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5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10.11</w:t>
            </w:r>
          </w:p>
        </w:tc>
        <w:tc>
          <w:tcPr>
            <w:tcW w:w="160" w:type="dxa"/>
            <w:vAlign w:val="bottom"/>
          </w:tcPr>
          <w:p>
            <w:pPr>
              <w:spacing w:after="0"/>
              <w:rPr>
                <w:sz w:val="14"/>
                <w:szCs w:val="14"/>
                <w:color w:val="auto"/>
              </w:rPr>
            </w:pPr>
          </w:p>
        </w:tc>
        <w:tc>
          <w:tcPr>
            <w:tcW w:w="10160" w:type="dxa"/>
            <w:vAlign w:val="bottom"/>
            <w:gridSpan w:val="40"/>
          </w:tcPr>
          <w:p>
            <w:pPr>
              <w:spacing w:after="0" w:line="171" w:lineRule="exact"/>
              <w:rPr>
                <w:rFonts w:ascii="Arial" w:cs="Arial" w:eastAsia="Arial" w:hAnsi="Arial"/>
                <w:sz w:val="16"/>
                <w:szCs w:val="16"/>
                <w:color w:val="0000FF"/>
                <w:w w:val="98"/>
              </w:rPr>
            </w:pPr>
            <w:hyperlink r:id="rId112">
              <w:r>
                <w:rPr>
                  <w:rFonts w:ascii="Arial" w:cs="Arial" w:eastAsia="Arial" w:hAnsi="Arial"/>
                  <w:sz w:val="16"/>
                  <w:szCs w:val="16"/>
                  <w:color w:val="0000FF"/>
                  <w:w w:val="98"/>
                </w:rPr>
                <w:t>First Amendment to the Credit Agreement and Guaranty and Security Agreement, dated as of October 23, 2019, by and among Rattler Midstream</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17"/>
          </w:tcPr>
          <w:p>
            <w:pPr>
              <w:spacing w:after="0" w:line="138" w:lineRule="exact"/>
              <w:rPr>
                <w:rFonts w:ascii="Arial" w:cs="Arial" w:eastAsia="Arial" w:hAnsi="Arial"/>
                <w:sz w:val="16"/>
                <w:szCs w:val="16"/>
                <w:color w:val="0000FF"/>
                <w:w w:val="90"/>
              </w:rPr>
            </w:pPr>
            <w:hyperlink r:id="rId112">
              <w:r>
                <w:rPr>
                  <w:rFonts w:ascii="Arial" w:cs="Arial" w:eastAsia="Arial" w:hAnsi="Arial"/>
                  <w:sz w:val="16"/>
                  <w:szCs w:val="16"/>
                  <w:color w:val="0000FF"/>
                  <w:w w:val="90"/>
                </w:rPr>
                <w:t>Operating LLC, as borrower, Rattler Midstream LP, as parent, Wells Fargo Bank, National Association, as the administrative agent, and certain lenders</w:t>
              </w:r>
            </w:hyperlink>
          </w:p>
        </w:tc>
        <w:tc>
          <w:tcPr>
            <w:tcW w:w="34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00" w:type="dxa"/>
            <w:vAlign w:val="bottom"/>
            <w:gridSpan w:val="17"/>
          </w:tcPr>
          <w:p>
            <w:pPr>
              <w:spacing w:after="0" w:line="138" w:lineRule="exact"/>
              <w:rPr>
                <w:rFonts w:ascii="Arial" w:cs="Arial" w:eastAsia="Arial" w:hAnsi="Arial"/>
                <w:sz w:val="16"/>
                <w:szCs w:val="16"/>
                <w:color w:val="0000FF"/>
                <w:w w:val="94"/>
              </w:rPr>
            </w:pPr>
            <w:hyperlink r:id="rId112">
              <w:r>
                <w:rPr>
                  <w:rFonts w:ascii="Arial" w:cs="Arial" w:eastAsia="Arial" w:hAnsi="Arial"/>
                  <w:sz w:val="16"/>
                  <w:szCs w:val="16"/>
                  <w:color w:val="0000FF"/>
                  <w:w w:val="94"/>
                </w:rPr>
                <w:t>from time to time party thereto (incorporated by reference to Exhibit 10.1 of the Registrant’s Current Report on Form 8-K (File 001-38919) filed on</w:t>
              </w:r>
            </w:hyperlink>
          </w:p>
        </w:tc>
        <w:tc>
          <w:tcPr>
            <w:tcW w:w="34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0000FF"/>
              <w:bottom w:val="single" w:sz="8" w:color="0000FF"/>
            </w:tcBorders>
          </w:tcPr>
          <w:p>
            <w:pPr>
              <w:spacing w:after="0" w:line="138" w:lineRule="exact"/>
              <w:rPr>
                <w:rFonts w:ascii="Arial" w:cs="Arial" w:eastAsia="Arial" w:hAnsi="Arial"/>
                <w:sz w:val="16"/>
                <w:szCs w:val="16"/>
                <w:color w:val="0000FF"/>
                <w:w w:val="88"/>
              </w:rPr>
            </w:pPr>
            <w:hyperlink r:id="rId112">
              <w:r>
                <w:rPr>
                  <w:rFonts w:ascii="Arial" w:cs="Arial" w:eastAsia="Arial" w:hAnsi="Arial"/>
                  <w:sz w:val="16"/>
                  <w:szCs w:val="16"/>
                  <w:color w:val="0000FF"/>
                  <w:w w:val="88"/>
                </w:rPr>
                <w:t>October 28, 2019).</w:t>
              </w:r>
            </w:hyperlink>
          </w:p>
        </w:tc>
        <w:tc>
          <w:tcPr>
            <w:tcW w:w="8740" w:type="dxa"/>
            <w:vAlign w:val="bottom"/>
            <w:tcBorders>
              <w:top w:val="single" w:sz="8" w:color="0000FF"/>
            </w:tcBorders>
            <w:gridSpan w:val="28"/>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10.12</w:t>
            </w:r>
          </w:p>
        </w:tc>
        <w:tc>
          <w:tcPr>
            <w:tcW w:w="160" w:type="dxa"/>
            <w:vAlign w:val="bottom"/>
            <w:tcBorders>
              <w:right w:val="single" w:sz="8" w:color="CCEEFF"/>
            </w:tcBorders>
            <w:shd w:val="clear" w:color="auto" w:fill="CCEEFF"/>
          </w:tcPr>
          <w:p>
            <w:pPr>
              <w:spacing w:after="0"/>
              <w:rPr>
                <w:sz w:val="15"/>
                <w:szCs w:val="15"/>
                <w:color w:val="auto"/>
              </w:rPr>
            </w:pPr>
          </w:p>
        </w:tc>
        <w:tc>
          <w:tcPr>
            <w:tcW w:w="10160" w:type="dxa"/>
            <w:vAlign w:val="bottom"/>
            <w:gridSpan w:val="40"/>
            <w:shd w:val="clear" w:color="auto" w:fill="CCEEFF"/>
          </w:tcPr>
          <w:p>
            <w:pPr>
              <w:spacing w:after="0" w:line="181" w:lineRule="exact"/>
              <w:rPr>
                <w:rFonts w:ascii="Arial" w:cs="Arial" w:eastAsia="Arial" w:hAnsi="Arial"/>
                <w:sz w:val="16"/>
                <w:szCs w:val="16"/>
                <w:color w:val="0000FF"/>
                <w:w w:val="97"/>
              </w:rPr>
            </w:pPr>
            <w:hyperlink r:id="rId113">
              <w:r>
                <w:rPr>
                  <w:rFonts w:ascii="Arial" w:cs="Arial" w:eastAsia="Arial" w:hAnsi="Arial"/>
                  <w:sz w:val="16"/>
                  <w:szCs w:val="16"/>
                  <w:color w:val="0000FF"/>
                  <w:w w:val="97"/>
                </w:rPr>
                <w:t>Second Amendment to the Credit Agreement, dated as of November 2, 2020, by and among Rattler Midstream Operating LLC, as borrower, Rattler</w:t>
              </w:r>
            </w:hyperlink>
          </w:p>
        </w:tc>
      </w:tr>
      <w:tr>
        <w:trPr>
          <w:trHeight w:val="151"/>
        </w:trPr>
        <w:tc>
          <w:tcPr>
            <w:tcW w:w="13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35"/>
            <w:shd w:val="clear" w:color="auto" w:fill="CCEEFF"/>
          </w:tcPr>
          <w:p>
            <w:pPr>
              <w:spacing w:after="0" w:line="152" w:lineRule="exact"/>
              <w:rPr>
                <w:rFonts w:ascii="Arial" w:cs="Arial" w:eastAsia="Arial" w:hAnsi="Arial"/>
                <w:sz w:val="16"/>
                <w:szCs w:val="16"/>
                <w:color w:val="0000FF"/>
                <w:w w:val="97"/>
              </w:rPr>
            </w:pPr>
            <w:hyperlink r:id="rId113">
              <w:r>
                <w:rPr>
                  <w:rFonts w:ascii="Arial" w:cs="Arial" w:eastAsia="Arial" w:hAnsi="Arial"/>
                  <w:sz w:val="16"/>
                  <w:szCs w:val="16"/>
                  <w:color w:val="0000FF"/>
                  <w:w w:val="97"/>
                </w:rPr>
                <w:t>Midstream LP, as parent, Wells Fargo Bank, National Association, as the administrative agent, and certain lenders from time to time party thereto</w:t>
              </w:r>
            </w:hyperlink>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51"/>
        </w:trPr>
        <w:tc>
          <w:tcPr>
            <w:tcW w:w="13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34"/>
            <w:shd w:val="clear" w:color="auto" w:fill="CCEEFF"/>
          </w:tcPr>
          <w:p>
            <w:pPr>
              <w:spacing w:after="0" w:line="15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(incorporated by reference to Exhibit 10.3 of the Registrant’s Quarterly Report on Form 10-Q (File No. 001-38919) filed on November 5, 2020).</w:t>
              </w:r>
            </w:hyperlink>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33"/>
        </w:trPr>
        <w:tc>
          <w:tcPr>
            <w:tcW w:w="1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9880" w:type="dxa"/>
            <w:vAlign w:val="bottom"/>
            <w:gridSpan w:val="25"/>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2"/>
        </w:trPr>
        <w:tc>
          <w:tcPr>
            <w:tcW w:w="1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64"/>
        </w:trPr>
        <w:tc>
          <w:tcPr>
            <w:tcW w:w="1380" w:type="dxa"/>
            <w:vAlign w:val="bottom"/>
          </w:tcPr>
          <w:p>
            <w:pPr>
              <w:ind w:left="20"/>
              <w:spacing w:after="0" w:line="165" w:lineRule="exact"/>
              <w:rPr>
                <w:sz w:val="20"/>
                <w:szCs w:val="20"/>
                <w:color w:val="auto"/>
              </w:rPr>
            </w:pPr>
            <w:r>
              <w:rPr>
                <w:rFonts w:ascii="Arial" w:cs="Arial" w:eastAsia="Arial" w:hAnsi="Arial"/>
                <w:sz w:val="16"/>
                <w:szCs w:val="16"/>
                <w:color w:val="auto"/>
              </w:rPr>
              <w:t>10.13</w:t>
            </w:r>
          </w:p>
        </w:tc>
        <w:tc>
          <w:tcPr>
            <w:tcW w:w="160" w:type="dxa"/>
            <w:vAlign w:val="bottom"/>
          </w:tcPr>
          <w:p>
            <w:pPr>
              <w:spacing w:after="0"/>
              <w:rPr>
                <w:sz w:val="14"/>
                <w:szCs w:val="14"/>
                <w:color w:val="auto"/>
              </w:rPr>
            </w:pPr>
          </w:p>
        </w:tc>
        <w:tc>
          <w:tcPr>
            <w:tcW w:w="9880" w:type="dxa"/>
            <w:vAlign w:val="bottom"/>
            <w:gridSpan w:val="25"/>
          </w:tcPr>
          <w:p>
            <w:pPr>
              <w:spacing w:after="0" w:line="165" w:lineRule="exact"/>
              <w:rPr>
                <w:rFonts w:ascii="Arial" w:cs="Arial" w:eastAsia="Arial" w:hAnsi="Arial"/>
                <w:sz w:val="16"/>
                <w:szCs w:val="16"/>
                <w:color w:val="0000FF"/>
                <w:w w:val="93"/>
              </w:rPr>
            </w:pPr>
            <w:hyperlink r:id="rId115">
              <w:r>
                <w:rPr>
                  <w:rFonts w:ascii="Arial" w:cs="Arial" w:eastAsia="Arial" w:hAnsi="Arial"/>
                  <w:sz w:val="16"/>
                  <w:szCs w:val="16"/>
                  <w:color w:val="0000FF"/>
                  <w:w w:val="93"/>
                </w:rPr>
                <w:t>Third Amendment to the Credit Agreement, dated as of December 21, 2021, among Rattler Midstream Operating LLC, as borrower, Rattler Midstream</w:t>
              </w:r>
            </w:hyperlink>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4"/>
          </w:tcPr>
          <w:p>
            <w:pPr>
              <w:spacing w:after="0" w:line="152" w:lineRule="exact"/>
              <w:rPr>
                <w:rFonts w:ascii="Arial" w:cs="Arial" w:eastAsia="Arial" w:hAnsi="Arial"/>
                <w:sz w:val="16"/>
                <w:szCs w:val="16"/>
                <w:color w:val="0000FF"/>
                <w:w w:val="95"/>
              </w:rPr>
            </w:pPr>
            <w:hyperlink r:id="rId115">
              <w:r>
                <w:rPr>
                  <w:rFonts w:ascii="Arial" w:cs="Arial" w:eastAsia="Arial" w:hAnsi="Arial"/>
                  <w:sz w:val="16"/>
                  <w:szCs w:val="16"/>
                  <w:color w:val="0000FF"/>
                  <w:w w:val="95"/>
                </w:rPr>
                <w:t>LP, as parent, Wells Fargo Bank, National Association, as administrative agent, and the lenders from time to time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40" w:type="dxa"/>
            <w:vAlign w:val="bottom"/>
            <w:gridSpan w:val="18"/>
          </w:tcPr>
          <w:p>
            <w:pPr>
              <w:spacing w:after="0" w:line="152" w:lineRule="exact"/>
              <w:rPr>
                <w:rFonts w:ascii="Arial" w:cs="Arial" w:eastAsia="Arial" w:hAnsi="Arial"/>
                <w:sz w:val="16"/>
                <w:szCs w:val="16"/>
                <w:color w:val="0000FF"/>
              </w:rPr>
            </w:pPr>
            <w:hyperlink r:id="rId115">
              <w:r>
                <w:rPr>
                  <w:rFonts w:ascii="Arial" w:cs="Arial" w:eastAsia="Arial" w:hAnsi="Arial"/>
                  <w:sz w:val="16"/>
                  <w:szCs w:val="16"/>
                  <w:color w:val="0000FF"/>
                </w:rPr>
                <w:t>reference to Exhibit 10.1 of the Registrant’s Current Report on Form 8-K (File 001-38919) filed on December 27,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2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3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10.14</w:t>
            </w:r>
          </w:p>
        </w:tc>
        <w:tc>
          <w:tcPr>
            <w:tcW w:w="160" w:type="dxa"/>
            <w:vAlign w:val="bottom"/>
            <w:tcBorders>
              <w:right w:val="single" w:sz="8" w:color="CCEEFF"/>
            </w:tcBorders>
            <w:shd w:val="clear" w:color="auto" w:fill="CCEEFF"/>
          </w:tcPr>
          <w:p>
            <w:pPr>
              <w:spacing w:after="0"/>
              <w:rPr>
                <w:sz w:val="14"/>
                <w:szCs w:val="14"/>
                <w:color w:val="auto"/>
              </w:rPr>
            </w:pPr>
          </w:p>
        </w:tc>
        <w:tc>
          <w:tcPr>
            <w:tcW w:w="9880" w:type="dxa"/>
            <w:vAlign w:val="bottom"/>
            <w:gridSpan w:val="25"/>
            <w:shd w:val="clear" w:color="auto" w:fill="CCEEFF"/>
          </w:tcPr>
          <w:p>
            <w:pPr>
              <w:spacing w:after="0" w:line="171" w:lineRule="exact"/>
              <w:rPr>
                <w:rFonts w:ascii="Arial" w:cs="Arial" w:eastAsia="Arial" w:hAnsi="Arial"/>
                <w:sz w:val="16"/>
                <w:szCs w:val="16"/>
                <w:color w:val="0000FF"/>
                <w:w w:val="92"/>
              </w:rPr>
            </w:pPr>
            <w:hyperlink r:id="rId116">
              <w:r>
                <w:rPr>
                  <w:rFonts w:ascii="Arial" w:cs="Arial" w:eastAsia="Arial" w:hAnsi="Arial"/>
                  <w:sz w:val="16"/>
                  <w:szCs w:val="16"/>
                  <w:color w:val="0000FF"/>
                  <w:w w:val="92"/>
                </w:rPr>
                <w:t>Subordinated Promissory Note, dated as of July 14, 2020, made by Rattler Midstream Operating LLC payable to Rattler Midstream LP (incorporated by</w:t>
              </w:r>
            </w:hyperlink>
          </w:p>
        </w:tc>
      </w:tr>
      <w:tr>
        <w:trPr>
          <w:trHeight w:val="158"/>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7260" w:type="dxa"/>
            <w:vAlign w:val="bottom"/>
            <w:tcBorders>
              <w:top w:val="single" w:sz="8" w:color="0000FF"/>
              <w:bottom w:val="single" w:sz="8" w:color="0000FF"/>
            </w:tcBorders>
            <w:gridSpan w:val="9"/>
            <w:shd w:val="clear" w:color="auto" w:fill="CCEEFF"/>
          </w:tcPr>
          <w:p>
            <w:pPr>
              <w:spacing w:after="0" w:line="138" w:lineRule="exact"/>
              <w:rPr>
                <w:rFonts w:ascii="Arial" w:cs="Arial" w:eastAsia="Arial" w:hAnsi="Arial"/>
                <w:sz w:val="16"/>
                <w:szCs w:val="16"/>
                <w:color w:val="0000FF"/>
                <w:w w:val="90"/>
              </w:rPr>
            </w:pPr>
            <w:hyperlink r:id="rId116">
              <w:r>
                <w:rPr>
                  <w:rFonts w:ascii="Arial" w:cs="Arial" w:eastAsia="Arial" w:hAnsi="Arial"/>
                  <w:sz w:val="16"/>
                  <w:szCs w:val="16"/>
                  <w:color w:val="0000FF"/>
                  <w:w w:val="90"/>
                </w:rPr>
                <w:t>reference to Exhibit 10.2 of the Registrant’s Current Report on Form 8-K (File 001-38919) filed on July 14, 2020).</w:t>
              </w:r>
            </w:hyperlink>
          </w:p>
        </w:tc>
        <w:tc>
          <w:tcPr>
            <w:tcW w:w="252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10.15+</w:t>
            </w:r>
          </w:p>
        </w:tc>
        <w:tc>
          <w:tcPr>
            <w:tcW w:w="160" w:type="dxa"/>
            <w:vAlign w:val="bottom"/>
          </w:tcPr>
          <w:p>
            <w:pPr>
              <w:spacing w:after="0"/>
              <w:rPr>
                <w:sz w:val="14"/>
                <w:szCs w:val="14"/>
                <w:color w:val="auto"/>
              </w:rPr>
            </w:pPr>
          </w:p>
        </w:tc>
        <w:tc>
          <w:tcPr>
            <w:tcW w:w="9880" w:type="dxa"/>
            <w:vAlign w:val="bottom"/>
            <w:gridSpan w:val="25"/>
          </w:tcPr>
          <w:p>
            <w:pPr>
              <w:spacing w:after="0" w:line="171" w:lineRule="exact"/>
              <w:rPr>
                <w:rFonts w:ascii="Arial" w:cs="Arial" w:eastAsia="Arial" w:hAnsi="Arial"/>
                <w:sz w:val="16"/>
                <w:szCs w:val="16"/>
                <w:color w:val="0000FF"/>
                <w:w w:val="94"/>
              </w:rPr>
            </w:pPr>
            <w:hyperlink r:id="rId117">
              <w:r>
                <w:rPr>
                  <w:rFonts w:ascii="Arial" w:cs="Arial" w:eastAsia="Arial" w:hAnsi="Arial"/>
                  <w:sz w:val="16"/>
                  <w:szCs w:val="16"/>
                  <w:color w:val="0000FF"/>
                  <w:w w:val="94"/>
                </w:rPr>
                <w:t>Rattler Midstream LP Long-Term Incentive Plan, adopted effective as of May 22, 2019, (incorporated by reference to Exhibit 10.3 of the Registrant’s</w:t>
              </w:r>
            </w:hyperlink>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6"/>
          </w:tcPr>
          <w:p>
            <w:pPr>
              <w:spacing w:after="0" w:line="138" w:lineRule="exact"/>
              <w:rPr>
                <w:rFonts w:ascii="Arial" w:cs="Arial" w:eastAsia="Arial" w:hAnsi="Arial"/>
                <w:sz w:val="16"/>
                <w:szCs w:val="16"/>
                <w:color w:val="0000FF"/>
                <w:w w:val="91"/>
              </w:rPr>
            </w:pPr>
            <w:hyperlink r:id="rId117">
              <w:r>
                <w:rPr>
                  <w:rFonts w:ascii="Arial" w:cs="Arial" w:eastAsia="Arial" w:hAnsi="Arial"/>
                  <w:sz w:val="16"/>
                  <w:szCs w:val="16"/>
                  <w:color w:val="0000FF"/>
                  <w:w w:val="91"/>
                </w:rPr>
                <w:t>Current Report on Form 8-K (File 001-38919) filed on May 29, 2019).</w:t>
              </w:r>
            </w:hyperlink>
          </w:p>
        </w:tc>
        <w:tc>
          <w:tcPr>
            <w:tcW w:w="52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10.16+</w:t>
            </w:r>
          </w:p>
        </w:tc>
        <w:tc>
          <w:tcPr>
            <w:tcW w:w="16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25"/>
            <w:shd w:val="clear" w:color="auto" w:fill="CCEEFF"/>
          </w:tcPr>
          <w:p>
            <w:pPr>
              <w:spacing w:after="0" w:line="181" w:lineRule="exact"/>
              <w:rPr>
                <w:rFonts w:ascii="Arial" w:cs="Arial" w:eastAsia="Arial" w:hAnsi="Arial"/>
                <w:sz w:val="16"/>
                <w:szCs w:val="16"/>
                <w:color w:val="0000FF"/>
                <w:w w:val="95"/>
              </w:rPr>
            </w:pPr>
            <w:hyperlink r:id="rId118">
              <w:r>
                <w:rPr>
                  <w:rFonts w:ascii="Arial" w:cs="Arial" w:eastAsia="Arial" w:hAnsi="Arial"/>
                  <w:sz w:val="16"/>
                  <w:szCs w:val="16"/>
                  <w:color w:val="0000FF"/>
                  <w:w w:val="95"/>
                </w:rPr>
                <w:t>2019 Form of Phantom Unit Agreement (incorporated by reference to Exhibit 10.8 of the Registrant’s Current Report on Form 8-K (File 001-38919)</w:t>
              </w:r>
            </w:hyperlink>
          </w:p>
        </w:tc>
      </w:tr>
      <w:tr>
        <w:trPr>
          <w:trHeight w:val="184"/>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50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6"/>
                <w:szCs w:val="16"/>
                <w:color w:val="0000FF"/>
                <w:w w:val="90"/>
              </w:rPr>
            </w:pPr>
            <w:hyperlink r:id="rId118">
              <w:r>
                <w:rPr>
                  <w:rFonts w:ascii="Arial" w:cs="Arial" w:eastAsia="Arial" w:hAnsi="Arial"/>
                  <w:sz w:val="16"/>
                  <w:szCs w:val="16"/>
                  <w:color w:val="0000FF"/>
                  <w:w w:val="90"/>
                </w:rPr>
                <w:t>filed on May 29, 2019).</w:t>
              </w:r>
            </w:hyperlink>
          </w:p>
        </w:tc>
        <w:tc>
          <w:tcPr>
            <w:tcW w:w="790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10.17+</w:t>
            </w:r>
          </w:p>
        </w:tc>
        <w:tc>
          <w:tcPr>
            <w:tcW w:w="160" w:type="dxa"/>
            <w:vAlign w:val="bottom"/>
          </w:tcPr>
          <w:p>
            <w:pPr>
              <w:spacing w:after="0"/>
              <w:rPr>
                <w:sz w:val="14"/>
                <w:szCs w:val="14"/>
                <w:color w:val="auto"/>
              </w:rPr>
            </w:pPr>
          </w:p>
        </w:tc>
        <w:tc>
          <w:tcPr>
            <w:tcW w:w="9880" w:type="dxa"/>
            <w:vAlign w:val="bottom"/>
            <w:gridSpan w:val="25"/>
          </w:tcPr>
          <w:p>
            <w:pPr>
              <w:spacing w:after="0" w:line="171" w:lineRule="exact"/>
              <w:rPr>
                <w:rFonts w:ascii="Arial" w:cs="Arial" w:eastAsia="Arial" w:hAnsi="Arial"/>
                <w:sz w:val="16"/>
                <w:szCs w:val="16"/>
                <w:color w:val="0000FF"/>
                <w:w w:val="95"/>
              </w:rPr>
            </w:pPr>
            <w:hyperlink r:id="rId119">
              <w:r>
                <w:rPr>
                  <w:rFonts w:ascii="Arial" w:cs="Arial" w:eastAsia="Arial" w:hAnsi="Arial"/>
                  <w:sz w:val="16"/>
                  <w:szCs w:val="16"/>
                  <w:color w:val="0000FF"/>
                  <w:w w:val="95"/>
                </w:rPr>
                <w:t>2020 Form of Phantom Unit Agreement (incorporated by reference to Exhibit 10.41 of the Registrant’s Annual Report on Form 10-K (File No. 001-</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0" w:type="dxa"/>
            <w:vAlign w:val="bottom"/>
            <w:tcBorders>
              <w:top w:val="single" w:sz="8" w:color="0000FF"/>
            </w:tcBorders>
            <w:gridSpan w:val="21"/>
          </w:tcPr>
          <w:p>
            <w:pPr>
              <w:spacing w:after="0" w:line="138" w:lineRule="exact"/>
              <w:rPr>
                <w:rFonts w:ascii="Arial" w:cs="Arial" w:eastAsia="Arial" w:hAnsi="Arial"/>
                <w:sz w:val="16"/>
                <w:szCs w:val="16"/>
                <w:color w:val="0000FF"/>
              </w:rPr>
            </w:pPr>
            <w:hyperlink r:id="rId119">
              <w:r>
                <w:rPr>
                  <w:rFonts w:ascii="Arial" w:cs="Arial" w:eastAsia="Arial" w:hAnsi="Arial"/>
                  <w:sz w:val="16"/>
                  <w:szCs w:val="16"/>
                  <w:color w:val="0000FF"/>
                </w:rPr>
                <w:t>38919) filed on February 26,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10.18+</w:t>
            </w:r>
          </w:p>
        </w:tc>
        <w:tc>
          <w:tcPr>
            <w:tcW w:w="16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25"/>
            <w:shd w:val="clear" w:color="auto" w:fill="CCEEFF"/>
          </w:tcPr>
          <w:p>
            <w:pPr>
              <w:spacing w:after="0" w:line="181" w:lineRule="exact"/>
              <w:rPr>
                <w:rFonts w:ascii="Arial" w:cs="Arial" w:eastAsia="Arial" w:hAnsi="Arial"/>
                <w:sz w:val="16"/>
                <w:szCs w:val="16"/>
                <w:color w:val="0000FF"/>
                <w:w w:val="95"/>
              </w:rPr>
            </w:pPr>
            <w:hyperlink r:id="rId120">
              <w:r>
                <w:rPr>
                  <w:rFonts w:ascii="Arial" w:cs="Arial" w:eastAsia="Arial" w:hAnsi="Arial"/>
                  <w:sz w:val="16"/>
                  <w:szCs w:val="16"/>
                  <w:color w:val="0000FF"/>
                  <w:w w:val="95"/>
                </w:rPr>
                <w:t>2021 Form of Phantom Unit Agreement (incorporated by reference to Exhibit 10.19 of the Registrant’s Annual Report on Form 10-K (File No. 001-</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0"/>
            <w:shd w:val="clear" w:color="auto" w:fill="CCEEFF"/>
          </w:tcPr>
          <w:p>
            <w:pPr>
              <w:spacing w:after="0" w:line="138" w:lineRule="exact"/>
              <w:rPr>
                <w:rFonts w:ascii="Arial" w:cs="Arial" w:eastAsia="Arial" w:hAnsi="Arial"/>
                <w:sz w:val="16"/>
                <w:szCs w:val="16"/>
                <w:color w:val="0000FF"/>
              </w:rPr>
            </w:pPr>
            <w:hyperlink r:id="rId120">
              <w:r>
                <w:rPr>
                  <w:rFonts w:ascii="Arial" w:cs="Arial" w:eastAsia="Arial" w:hAnsi="Arial"/>
                  <w:sz w:val="16"/>
                  <w:szCs w:val="16"/>
                  <w:color w:val="0000FF"/>
                </w:rPr>
                <w:t>38919) filed on February 25, 2021).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40"/>
        </w:trPr>
        <w:tc>
          <w:tcPr>
            <w:tcW w:w="13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20" w:type="dxa"/>
            <w:vAlign w:val="bottom"/>
            <w:tcBorders>
              <w:left w:val="single" w:sz="8" w:color="CCEEFF"/>
            </w:tcBorders>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10.19</w:t>
            </w:r>
          </w:p>
        </w:tc>
        <w:tc>
          <w:tcPr>
            <w:tcW w:w="160" w:type="dxa"/>
            <w:vAlign w:val="bottom"/>
          </w:tcPr>
          <w:p>
            <w:pPr>
              <w:spacing w:after="0"/>
              <w:rPr>
                <w:sz w:val="14"/>
                <w:szCs w:val="14"/>
                <w:color w:val="auto"/>
              </w:rPr>
            </w:pPr>
          </w:p>
        </w:tc>
        <w:tc>
          <w:tcPr>
            <w:tcW w:w="9880" w:type="dxa"/>
            <w:vAlign w:val="bottom"/>
            <w:gridSpan w:val="25"/>
          </w:tcPr>
          <w:p>
            <w:pPr>
              <w:spacing w:after="0" w:line="171" w:lineRule="exact"/>
              <w:rPr>
                <w:rFonts w:ascii="Arial" w:cs="Arial" w:eastAsia="Arial" w:hAnsi="Arial"/>
                <w:sz w:val="16"/>
                <w:szCs w:val="16"/>
                <w:color w:val="0000FF"/>
                <w:w w:val="94"/>
              </w:rPr>
            </w:pPr>
            <w:hyperlink r:id="rId121">
              <w:r>
                <w:rPr>
                  <w:rFonts w:ascii="Arial" w:cs="Arial" w:eastAsia="Arial" w:hAnsi="Arial"/>
                  <w:sz w:val="16"/>
                  <w:szCs w:val="16"/>
                  <w:color w:val="0000FF"/>
                  <w:w w:val="94"/>
                </w:rPr>
                <w:t>Form of Indemnification Agreement (incorporated by reference to Exhibit 10.4 of the Registrant’s Current Report on Form 8-K (File 001-38919) filed</w:t>
              </w:r>
            </w:hyperlink>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2"/>
          </w:tcPr>
          <w:p>
            <w:pPr>
              <w:spacing w:after="0" w:line="138" w:lineRule="exact"/>
              <w:rPr>
                <w:rFonts w:ascii="Arial" w:cs="Arial" w:eastAsia="Arial" w:hAnsi="Arial"/>
                <w:sz w:val="16"/>
                <w:szCs w:val="16"/>
                <w:color w:val="0000FF"/>
                <w:w w:val="89"/>
              </w:rPr>
            </w:pPr>
            <w:hyperlink r:id="rId121">
              <w:r>
                <w:rPr>
                  <w:rFonts w:ascii="Arial" w:cs="Arial" w:eastAsia="Arial" w:hAnsi="Arial"/>
                  <w:sz w:val="16"/>
                  <w:szCs w:val="16"/>
                  <w:color w:val="0000FF"/>
                  <w:w w:val="89"/>
                </w:rPr>
                <w:t>on May 29, 2019).</w:t>
              </w:r>
            </w:hyperlink>
          </w:p>
        </w:tc>
        <w:tc>
          <w:tcPr>
            <w:tcW w:w="846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10.20</w:t>
            </w:r>
          </w:p>
        </w:tc>
        <w:tc>
          <w:tcPr>
            <w:tcW w:w="16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25"/>
            <w:shd w:val="clear" w:color="auto" w:fill="CCEEFF"/>
          </w:tcPr>
          <w:p>
            <w:pPr>
              <w:spacing w:after="0" w:line="181" w:lineRule="exact"/>
              <w:rPr>
                <w:rFonts w:ascii="Arial" w:cs="Arial" w:eastAsia="Arial" w:hAnsi="Arial"/>
                <w:sz w:val="16"/>
                <w:szCs w:val="16"/>
                <w:color w:val="0000FF"/>
                <w:w w:val="90"/>
              </w:rPr>
            </w:pPr>
            <w:hyperlink r:id="rId122">
              <w:r>
                <w:rPr>
                  <w:rFonts w:ascii="Arial" w:cs="Arial" w:eastAsia="Arial" w:hAnsi="Arial"/>
                  <w:sz w:val="16"/>
                  <w:szCs w:val="16"/>
                  <w:color w:val="0000FF"/>
                  <w:w w:val="90"/>
                </w:rPr>
                <w:t>Amended and Restated Services and Secondment Agreement, dated as of December 22, 2021, by and among Diamondback Energy, Inc., Diamondback</w:t>
              </w:r>
            </w:hyperlink>
          </w:p>
        </w:tc>
      </w:tr>
      <w:tr>
        <w:trPr>
          <w:trHeight w:val="138"/>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00" w:type="dxa"/>
            <w:vAlign w:val="bottom"/>
            <w:tcBorders>
              <w:top w:val="single" w:sz="8" w:color="0000FF"/>
              <w:bottom w:val="single" w:sz="8" w:color="0000FF"/>
            </w:tcBorders>
            <w:gridSpan w:val="16"/>
            <w:shd w:val="clear" w:color="auto" w:fill="CCEEFF"/>
          </w:tcPr>
          <w:p>
            <w:pPr>
              <w:spacing w:after="0" w:line="138" w:lineRule="exact"/>
              <w:rPr>
                <w:rFonts w:ascii="Arial" w:cs="Arial" w:eastAsia="Arial" w:hAnsi="Arial"/>
                <w:sz w:val="16"/>
                <w:szCs w:val="16"/>
                <w:color w:val="0000FF"/>
                <w:w w:val="93"/>
              </w:rPr>
            </w:pPr>
            <w:hyperlink r:id="rId122">
              <w:r>
                <w:rPr>
                  <w:rFonts w:ascii="Arial" w:cs="Arial" w:eastAsia="Arial" w:hAnsi="Arial"/>
                  <w:sz w:val="16"/>
                  <w:szCs w:val="16"/>
                  <w:color w:val="0000FF"/>
                  <w:w w:val="93"/>
                </w:rPr>
                <w:t>E&amp;P LLC, Rattler Midstream GP LLC, Rattler Midstream LP, Rattler Holdings LLC and Rattler Midstream Operating LLC (incorporated by reference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8"/>
        </w:trPr>
        <w:tc>
          <w:tcPr>
            <w:tcW w:w="13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7020" w:type="dxa"/>
            <w:vAlign w:val="bottom"/>
            <w:tcBorders>
              <w:bottom w:val="single" w:sz="8" w:color="0000FF"/>
            </w:tcBorders>
            <w:gridSpan w:val="8"/>
            <w:shd w:val="clear" w:color="auto" w:fill="CCEEFF"/>
          </w:tcPr>
          <w:p>
            <w:pPr>
              <w:spacing w:after="0" w:line="138" w:lineRule="exact"/>
              <w:rPr>
                <w:rFonts w:ascii="Arial" w:cs="Arial" w:eastAsia="Arial" w:hAnsi="Arial"/>
                <w:sz w:val="16"/>
                <w:szCs w:val="16"/>
                <w:color w:val="0000FF"/>
                <w:w w:val="90"/>
              </w:rPr>
            </w:pPr>
            <w:hyperlink r:id="rId122">
              <w:r>
                <w:rPr>
                  <w:rFonts w:ascii="Arial" w:cs="Arial" w:eastAsia="Arial" w:hAnsi="Arial"/>
                  <w:sz w:val="16"/>
                  <w:szCs w:val="16"/>
                  <w:color w:val="0000FF"/>
                  <w:w w:val="90"/>
                </w:rPr>
                <w:t>to Exhibit 10.2 of the Registrant’s Current Report on Form 8-K (File 001-38919) filed on December 27, 2021).</w:t>
              </w:r>
            </w:hyperlink>
          </w:p>
        </w:tc>
        <w:tc>
          <w:tcPr>
            <w:tcW w:w="2740" w:type="dxa"/>
            <w:vAlign w:val="bottom"/>
            <w:tcBorders>
              <w:bottom w:val="single" w:sz="8" w:color="CCEEFF"/>
            </w:tcBorders>
            <w:gridSpan w:val="11"/>
            <w:shd w:val="clear" w:color="auto" w:fill="CCEEFF"/>
          </w:tcPr>
          <w:p>
            <w:pPr>
              <w:spacing w:after="0"/>
              <w:rPr>
                <w:sz w:val="13"/>
                <w:szCs w:val="13"/>
                <w:color w:val="auto"/>
              </w:rPr>
            </w:pPr>
          </w:p>
        </w:tc>
        <w:tc>
          <w:tcPr>
            <w:tcW w:w="60" w:type="dxa"/>
            <w:vAlign w:val="bottom"/>
            <w:tcBorders>
              <w:bottom w:val="single" w:sz="8" w:color="CCEEFF"/>
            </w:tcBorders>
            <w:gridSpan w:val="3"/>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10.21</w:t>
            </w:r>
          </w:p>
        </w:tc>
        <w:tc>
          <w:tcPr>
            <w:tcW w:w="160" w:type="dxa"/>
            <w:vAlign w:val="bottom"/>
          </w:tcPr>
          <w:p>
            <w:pPr>
              <w:spacing w:after="0"/>
              <w:rPr>
                <w:sz w:val="14"/>
                <w:szCs w:val="14"/>
                <w:color w:val="auto"/>
              </w:rPr>
            </w:pPr>
          </w:p>
        </w:tc>
        <w:tc>
          <w:tcPr>
            <w:tcW w:w="9880" w:type="dxa"/>
            <w:vAlign w:val="bottom"/>
            <w:gridSpan w:val="25"/>
          </w:tcPr>
          <w:p>
            <w:pPr>
              <w:spacing w:after="0" w:line="171" w:lineRule="exact"/>
              <w:rPr>
                <w:rFonts w:ascii="Arial" w:cs="Arial" w:eastAsia="Arial" w:hAnsi="Arial"/>
                <w:sz w:val="16"/>
                <w:szCs w:val="16"/>
                <w:color w:val="0000FF"/>
                <w:w w:val="92"/>
              </w:rPr>
            </w:pPr>
            <w:hyperlink r:id="rId123">
              <w:r>
                <w:rPr>
                  <w:rFonts w:ascii="Arial" w:cs="Arial" w:eastAsia="Arial" w:hAnsi="Arial"/>
                  <w:sz w:val="16"/>
                  <w:szCs w:val="16"/>
                  <w:color w:val="0000FF"/>
                  <w:w w:val="92"/>
                </w:rPr>
                <w:t>Tax Sharing Agreement, dated as of May 28, 2019, by and between Diamondback Energy, Inc. and Rattler Midstream Operating LLC (incorporated by</w:t>
              </w:r>
            </w:hyperlink>
          </w:p>
        </w:tc>
      </w:tr>
      <w:tr>
        <w:trPr>
          <w:trHeight w:val="14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40" w:type="dxa"/>
            <w:vAlign w:val="bottom"/>
            <w:tcBorders>
              <w:top w:val="single" w:sz="8" w:color="0000FF"/>
            </w:tcBorders>
            <w:gridSpan w:val="23"/>
          </w:tcPr>
          <w:p>
            <w:pPr>
              <w:spacing w:after="0" w:line="138" w:lineRule="exact"/>
              <w:rPr>
                <w:rFonts w:ascii="Arial" w:cs="Arial" w:eastAsia="Arial" w:hAnsi="Arial"/>
                <w:sz w:val="16"/>
                <w:szCs w:val="16"/>
                <w:color w:val="0000FF"/>
              </w:rPr>
            </w:pPr>
            <w:hyperlink r:id="rId123">
              <w:r>
                <w:rPr>
                  <w:rFonts w:ascii="Arial" w:cs="Arial" w:eastAsia="Arial" w:hAnsi="Arial"/>
                  <w:sz w:val="16"/>
                  <w:szCs w:val="16"/>
                  <w:color w:val="0000FF"/>
                </w:rPr>
                <w:t>reference to Exhibit 10.7 of the Registrant’s Current Report on Form 8-K (File 001-38919) filed on May 29,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21.1*</w:t>
            </w:r>
          </w:p>
        </w:tc>
        <w:tc>
          <w:tcPr>
            <w:tcW w:w="160" w:type="dxa"/>
            <w:vAlign w:val="bottom"/>
            <w:tcBorders>
              <w:right w:val="single" w:sz="8" w:color="CCEEFF"/>
            </w:tcBorders>
            <w:shd w:val="clear" w:color="auto" w:fill="CCEEFF"/>
          </w:tcPr>
          <w:p>
            <w:pPr>
              <w:spacing w:after="0"/>
              <w:rPr>
                <w:sz w:val="17"/>
                <w:szCs w:val="17"/>
                <w:color w:val="auto"/>
              </w:rPr>
            </w:pPr>
          </w:p>
        </w:tc>
        <w:tc>
          <w:tcPr>
            <w:tcW w:w="7280" w:type="dxa"/>
            <w:vAlign w:val="bottom"/>
            <w:tcBorders>
              <w:top w:val="single" w:sz="8" w:color="0000FF"/>
            </w:tcBorders>
            <w:gridSpan w:val="10"/>
            <w:shd w:val="clear" w:color="auto" w:fill="CCEEFF"/>
          </w:tcPr>
          <w:p>
            <w:pPr>
              <w:spacing w:after="0" w:line="181" w:lineRule="exact"/>
              <w:rPr>
                <w:rFonts w:ascii="Arial" w:cs="Arial" w:eastAsia="Arial" w:hAnsi="Arial"/>
                <w:sz w:val="16"/>
                <w:szCs w:val="16"/>
                <w:color w:val="0000FF"/>
              </w:rPr>
            </w:pPr>
            <w:hyperlink w:anchor="page109">
              <w:r>
                <w:rPr>
                  <w:rFonts w:ascii="Arial" w:cs="Arial" w:eastAsia="Arial" w:hAnsi="Arial"/>
                  <w:sz w:val="16"/>
                  <w:szCs w:val="16"/>
                  <w:color w:val="0000FF"/>
                </w:rPr>
                <w:t>List of Subsidiaries of the Registrant</w:t>
              </w:r>
            </w:hyperlink>
          </w:p>
        </w:tc>
        <w:tc>
          <w:tcPr>
            <w:tcW w:w="2600" w:type="dxa"/>
            <w:vAlign w:val="bottom"/>
            <w:gridSpan w:val="15"/>
            <w:shd w:val="clear" w:color="auto" w:fill="CCEEFF"/>
          </w:tcPr>
          <w:p>
            <w:pPr>
              <w:spacing w:after="0"/>
              <w:rPr>
                <w:sz w:val="17"/>
                <w:szCs w:val="17"/>
                <w:color w:val="auto"/>
              </w:rPr>
            </w:pPr>
          </w:p>
        </w:tc>
      </w:tr>
      <w:tr>
        <w:trPr>
          <w:trHeight w:val="181"/>
        </w:trPr>
        <w:tc>
          <w:tcPr>
            <w:tcW w:w="1380" w:type="dxa"/>
            <w:vAlign w:val="bottom"/>
            <w:tcBorders>
              <w:top w:val="single" w:sz="8" w:color="CCEEFF"/>
            </w:tcBorders>
          </w:tcPr>
          <w:p>
            <w:pPr>
              <w:ind w:left="20"/>
              <w:spacing w:after="0" w:line="171" w:lineRule="exact"/>
              <w:rPr>
                <w:sz w:val="20"/>
                <w:szCs w:val="20"/>
                <w:color w:val="auto"/>
              </w:rPr>
            </w:pPr>
            <w:r>
              <w:rPr>
                <w:rFonts w:ascii="Arial" w:cs="Arial" w:eastAsia="Arial" w:hAnsi="Arial"/>
                <w:sz w:val="16"/>
                <w:szCs w:val="16"/>
                <w:color w:val="auto"/>
              </w:rPr>
              <w:t>23.1*</w:t>
            </w:r>
          </w:p>
        </w:tc>
        <w:tc>
          <w:tcPr>
            <w:tcW w:w="160" w:type="dxa"/>
            <w:vAlign w:val="bottom"/>
            <w:tcBorders>
              <w:top w:val="single" w:sz="8" w:color="CCEEFF"/>
            </w:tcBorders>
          </w:tcPr>
          <w:p>
            <w:pPr>
              <w:spacing w:after="0"/>
              <w:rPr>
                <w:sz w:val="15"/>
                <w:szCs w:val="15"/>
                <w:color w:val="auto"/>
              </w:rPr>
            </w:pPr>
          </w:p>
        </w:tc>
        <w:tc>
          <w:tcPr>
            <w:tcW w:w="2060" w:type="dxa"/>
            <w:vAlign w:val="bottom"/>
            <w:tcBorders>
              <w:top w:val="single" w:sz="8" w:color="0000FF"/>
              <w:bottom w:val="single" w:sz="8" w:color="0000FF"/>
            </w:tcBorders>
            <w:gridSpan w:val="4"/>
          </w:tcPr>
          <w:p>
            <w:pPr>
              <w:spacing w:after="0" w:line="171" w:lineRule="exact"/>
              <w:rPr>
                <w:rFonts w:ascii="Arial" w:cs="Arial" w:eastAsia="Arial" w:hAnsi="Arial"/>
                <w:sz w:val="16"/>
                <w:szCs w:val="16"/>
                <w:color w:val="0000FF"/>
                <w:w w:val="89"/>
              </w:rPr>
            </w:pPr>
            <w:hyperlink w:anchor="page110">
              <w:r>
                <w:rPr>
                  <w:rFonts w:ascii="Arial" w:cs="Arial" w:eastAsia="Arial" w:hAnsi="Arial"/>
                  <w:sz w:val="16"/>
                  <w:szCs w:val="16"/>
                  <w:color w:val="0000FF"/>
                  <w:w w:val="89"/>
                </w:rPr>
                <w:t>Consent of Grant Thornton LLP.</w:t>
              </w:r>
            </w:hyperlink>
          </w:p>
        </w:tc>
        <w:tc>
          <w:tcPr>
            <w:tcW w:w="200" w:type="dxa"/>
            <w:vAlign w:val="bottom"/>
            <w:tcBorders>
              <w:top w:val="single" w:sz="8" w:color="0000FF"/>
            </w:tcBorders>
          </w:tcPr>
          <w:p>
            <w:pPr>
              <w:spacing w:after="0"/>
              <w:rPr>
                <w:sz w:val="15"/>
                <w:szCs w:val="15"/>
                <w:color w:val="auto"/>
              </w:rPr>
            </w:pPr>
          </w:p>
        </w:tc>
        <w:tc>
          <w:tcPr>
            <w:tcW w:w="7620" w:type="dxa"/>
            <w:vAlign w:val="bottom"/>
            <w:tcBorders>
              <w:top w:val="single" w:sz="8" w:color="CCEEFF"/>
            </w:tcBorders>
            <w:gridSpan w:val="20"/>
          </w:tcPr>
          <w:p>
            <w:pPr>
              <w:spacing w:after="0"/>
              <w:rPr>
                <w:sz w:val="15"/>
                <w:szCs w:val="15"/>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31.1*</w:t>
            </w:r>
          </w:p>
        </w:tc>
        <w:tc>
          <w:tcPr>
            <w:tcW w:w="16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25"/>
            <w:shd w:val="clear" w:color="auto" w:fill="CCEEFF"/>
          </w:tcPr>
          <w:p>
            <w:pPr>
              <w:spacing w:after="0" w:line="181" w:lineRule="exact"/>
              <w:rPr>
                <w:rFonts w:ascii="Arial" w:cs="Arial" w:eastAsia="Arial" w:hAnsi="Arial"/>
                <w:sz w:val="16"/>
                <w:szCs w:val="16"/>
                <w:color w:val="0000FF"/>
                <w:w w:val="97"/>
              </w:rPr>
            </w:pPr>
            <w:hyperlink w:anchor="page111">
              <w:r>
                <w:rPr>
                  <w:rFonts w:ascii="Arial" w:cs="Arial" w:eastAsia="Arial" w:hAnsi="Arial"/>
                  <w:sz w:val="16"/>
                  <w:szCs w:val="16"/>
                  <w:color w:val="0000FF"/>
                  <w:w w:val="97"/>
                </w:rPr>
                <w:t>Certification of Chief Executive Officer of the Registrant pursuant to Rule 13a-14(a) promulgated under the Securities Exchange Act of 1934, as</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2"/>
            <w:shd w:val="clear" w:color="auto" w:fill="CCEEFF"/>
          </w:tcPr>
          <w:p>
            <w:pPr>
              <w:spacing w:after="0" w:line="138" w:lineRule="exact"/>
              <w:rPr>
                <w:rFonts w:ascii="Arial" w:cs="Arial" w:eastAsia="Arial" w:hAnsi="Arial"/>
                <w:sz w:val="16"/>
                <w:szCs w:val="16"/>
                <w:color w:val="0000FF"/>
              </w:rPr>
            </w:pPr>
            <w:hyperlink w:anchor="page111">
              <w:r>
                <w:rPr>
                  <w:rFonts w:ascii="Arial" w:cs="Arial" w:eastAsia="Arial" w:hAnsi="Arial"/>
                  <w:sz w:val="16"/>
                  <w:szCs w:val="16"/>
                  <w:color w:val="0000FF"/>
                </w:rPr>
                <w:t>amended.</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40"/>
        </w:trPr>
        <w:tc>
          <w:tcPr>
            <w:tcW w:w="13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20" w:type="dxa"/>
            <w:vAlign w:val="bottom"/>
            <w:tcBorders>
              <w:left w:val="single" w:sz="8" w:color="CCEEFF"/>
            </w:tcBorders>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1"/>
        </w:trPr>
        <w:tc>
          <w:tcPr>
            <w:tcW w:w="1380" w:type="dxa"/>
            <w:vAlign w:val="bottom"/>
          </w:tcPr>
          <w:p>
            <w:pPr>
              <w:ind w:left="20"/>
              <w:spacing w:after="0" w:line="171"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4"/>
                <w:szCs w:val="14"/>
                <w:color w:val="auto"/>
              </w:rPr>
            </w:pPr>
          </w:p>
        </w:tc>
        <w:tc>
          <w:tcPr>
            <w:tcW w:w="9880" w:type="dxa"/>
            <w:vAlign w:val="bottom"/>
            <w:gridSpan w:val="25"/>
          </w:tcPr>
          <w:p>
            <w:pPr>
              <w:spacing w:after="0" w:line="171" w:lineRule="exact"/>
              <w:rPr>
                <w:rFonts w:ascii="Arial" w:cs="Arial" w:eastAsia="Arial" w:hAnsi="Arial"/>
                <w:sz w:val="16"/>
                <w:szCs w:val="16"/>
                <w:color w:val="0000FF"/>
                <w:w w:val="97"/>
              </w:rPr>
            </w:pPr>
            <w:hyperlink w:anchor="page112">
              <w:r>
                <w:rPr>
                  <w:rFonts w:ascii="Arial" w:cs="Arial" w:eastAsia="Arial" w:hAnsi="Arial"/>
                  <w:sz w:val="16"/>
                  <w:szCs w:val="16"/>
                  <w:color w:val="0000FF"/>
                  <w:w w:val="97"/>
                </w:rPr>
                <w:t>Certification of Chief Financial Officer of the Registrant pursuant to Rule 13a-14(a) promulgated under the Securities Exchange Act of 1934, as</w:t>
              </w:r>
            </w:hyperlink>
          </w:p>
        </w:tc>
      </w:tr>
      <w:tr>
        <w:trPr>
          <w:trHeight w:val="138"/>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20" w:type="dxa"/>
            <w:vAlign w:val="bottom"/>
            <w:tcBorders>
              <w:top w:val="single" w:sz="8" w:color="0000FF"/>
            </w:tcBorders>
            <w:gridSpan w:val="17"/>
          </w:tcPr>
          <w:p>
            <w:pPr>
              <w:spacing w:after="0" w:line="138" w:lineRule="exact"/>
              <w:rPr>
                <w:rFonts w:ascii="Arial" w:cs="Arial" w:eastAsia="Arial" w:hAnsi="Arial"/>
                <w:sz w:val="16"/>
                <w:szCs w:val="16"/>
                <w:color w:val="0000FF"/>
              </w:rPr>
            </w:pPr>
            <w:hyperlink w:anchor="page112">
              <w:r>
                <w:rPr>
                  <w:rFonts w:ascii="Arial" w:cs="Arial" w:eastAsia="Arial" w:hAnsi="Arial"/>
                  <w:sz w:val="16"/>
                  <w:szCs w:val="16"/>
                  <w:color w:val="0000FF"/>
                </w:rPr>
                <w:t>amended.</w:t>
              </w:r>
            </w:hyperlink>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30"/>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32.1++</w:t>
            </w:r>
          </w:p>
        </w:tc>
        <w:tc>
          <w:tcPr>
            <w:tcW w:w="160" w:type="dxa"/>
            <w:vAlign w:val="bottom"/>
            <w:tcBorders>
              <w:right w:val="single" w:sz="8" w:color="CCEEFF"/>
            </w:tcBorders>
            <w:shd w:val="clear" w:color="auto" w:fill="CCEEFF"/>
          </w:tcPr>
          <w:p>
            <w:pPr>
              <w:spacing w:after="0"/>
              <w:rPr>
                <w:sz w:val="15"/>
                <w:szCs w:val="15"/>
                <w:color w:val="auto"/>
              </w:rPr>
            </w:pPr>
          </w:p>
        </w:tc>
        <w:tc>
          <w:tcPr>
            <w:tcW w:w="9880" w:type="dxa"/>
            <w:vAlign w:val="bottom"/>
            <w:gridSpan w:val="25"/>
            <w:shd w:val="clear" w:color="auto" w:fill="CCEEFF"/>
          </w:tcPr>
          <w:p>
            <w:pPr>
              <w:spacing w:after="0" w:line="181" w:lineRule="exact"/>
              <w:rPr>
                <w:rFonts w:ascii="Arial" w:cs="Arial" w:eastAsia="Arial" w:hAnsi="Arial"/>
                <w:sz w:val="16"/>
                <w:szCs w:val="16"/>
                <w:color w:val="0000FF"/>
                <w:w w:val="96"/>
              </w:rPr>
            </w:pPr>
            <w:hyperlink w:anchor="page113">
              <w:r>
                <w:rPr>
                  <w:rFonts w:ascii="Arial" w:cs="Arial" w:eastAsia="Arial" w:hAnsi="Arial"/>
                  <w:sz w:val="16"/>
                  <w:szCs w:val="16"/>
                  <w:color w:val="0000FF"/>
                  <w:w w:val="96"/>
                </w:rPr>
                <w:t>Certification of Chief Executive Officer and Chief Financial Officer of the Registrant pursuant to Rule 13a-14(b) promulgated under the Securities</w:t>
              </w:r>
            </w:hyperlink>
          </w:p>
        </w:tc>
      </w:tr>
      <w:tr>
        <w:trPr>
          <w:trHeight w:val="138"/>
        </w:trPr>
        <w:tc>
          <w:tcPr>
            <w:tcW w:w="13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24"/>
            <w:shd w:val="clear" w:color="auto" w:fill="CCEEFF"/>
          </w:tcPr>
          <w:p>
            <w:pPr>
              <w:spacing w:after="0" w:line="138" w:lineRule="exact"/>
              <w:rPr>
                <w:rFonts w:ascii="Arial" w:cs="Arial" w:eastAsia="Arial" w:hAnsi="Arial"/>
                <w:sz w:val="16"/>
                <w:szCs w:val="16"/>
                <w:color w:val="0000FF"/>
              </w:rPr>
            </w:pPr>
            <w:hyperlink w:anchor="page113">
              <w:r>
                <w:rPr>
                  <w:rFonts w:ascii="Arial" w:cs="Arial" w:eastAsia="Arial" w:hAnsi="Arial"/>
                  <w:sz w:val="16"/>
                  <w:szCs w:val="16"/>
                  <w:color w:val="0000FF"/>
                </w:rPr>
                <w:t>Exchange Act of 1934, as amended, and Section 1350 of Chapter 63 of Title 18 of the United States Code.</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40"/>
        </w:trPr>
        <w:tc>
          <w:tcPr>
            <w:tcW w:w="13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20" w:type="dxa"/>
            <w:vAlign w:val="bottom"/>
            <w:tcBorders>
              <w:left w:val="single" w:sz="8" w:color="0000FF"/>
            </w:tcBorders>
            <w:shd w:val="clear" w:color="auto" w:fill="0000FF"/>
          </w:tcPr>
          <w:p>
            <w:pPr>
              <w:spacing w:after="0"/>
              <w:rPr>
                <w:sz w:val="3"/>
                <w:szCs w:val="3"/>
                <w:color w:val="auto"/>
              </w:rPr>
            </w:pPr>
          </w:p>
        </w:tc>
        <w:tc>
          <w:tcPr>
            <w:tcW w:w="224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1"/>
        </w:trPr>
        <w:tc>
          <w:tcPr>
            <w:tcW w:w="1380" w:type="dxa"/>
            <w:vAlign w:val="bottom"/>
          </w:tcPr>
          <w:p>
            <w:pPr>
              <w:ind w:left="20"/>
              <w:spacing w:after="0" w:line="161"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4"/>
                <w:szCs w:val="14"/>
                <w:color w:val="auto"/>
              </w:rPr>
            </w:pPr>
          </w:p>
        </w:tc>
        <w:tc>
          <w:tcPr>
            <w:tcW w:w="9880" w:type="dxa"/>
            <w:vAlign w:val="bottom"/>
            <w:gridSpan w:val="25"/>
          </w:tcPr>
          <w:p>
            <w:pPr>
              <w:ind w:left="40"/>
              <w:spacing w:after="0" w:line="161" w:lineRule="exact"/>
              <w:rPr>
                <w:sz w:val="20"/>
                <w:szCs w:val="20"/>
                <w:color w:val="auto"/>
              </w:rPr>
            </w:pPr>
            <w:r>
              <w:rPr>
                <w:rFonts w:ascii="Arial" w:cs="Arial" w:eastAsia="Arial" w:hAnsi="Arial"/>
                <w:sz w:val="16"/>
                <w:szCs w:val="16"/>
                <w:color w:val="auto"/>
                <w:w w:val="96"/>
              </w:rPr>
              <w:t>The following financial information from the Registrant’s Annual Report on Form 10-K for the year ended December 31, 2021, formatted in Inline</w:t>
            </w:r>
          </w:p>
        </w:tc>
      </w:tr>
      <w:tr>
        <w:trPr>
          <w:trHeight w:val="158"/>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80" w:type="dxa"/>
            <w:vAlign w:val="bottom"/>
            <w:gridSpan w:val="25"/>
          </w:tcPr>
          <w:p>
            <w:pPr>
              <w:ind w:left="40"/>
              <w:spacing w:after="0" w:line="158" w:lineRule="exact"/>
              <w:rPr>
                <w:sz w:val="20"/>
                <w:szCs w:val="20"/>
                <w:color w:val="auto"/>
              </w:rPr>
            </w:pPr>
            <w:r>
              <w:rPr>
                <w:rFonts w:ascii="Arial" w:cs="Arial" w:eastAsia="Arial" w:hAnsi="Arial"/>
                <w:sz w:val="16"/>
                <w:szCs w:val="16"/>
                <w:color w:val="auto"/>
                <w:w w:val="96"/>
              </w:rPr>
              <w:t>XBRL: (i) Consolidated Balance Sheets, (ii) Consolidated Statements of Operations, (iii) Consolidated Statements of Comprehensive Income (iv)</w:t>
            </w:r>
          </w:p>
        </w:tc>
      </w:tr>
      <w:tr>
        <w:trPr>
          <w:trHeight w:val="158"/>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80" w:type="dxa"/>
            <w:vAlign w:val="bottom"/>
            <w:gridSpan w:val="25"/>
          </w:tcPr>
          <w:p>
            <w:pPr>
              <w:ind w:left="40"/>
              <w:spacing w:after="0" w:line="158" w:lineRule="exact"/>
              <w:rPr>
                <w:sz w:val="20"/>
                <w:szCs w:val="20"/>
                <w:color w:val="auto"/>
              </w:rPr>
            </w:pPr>
            <w:r>
              <w:rPr>
                <w:rFonts w:ascii="Arial" w:cs="Arial" w:eastAsia="Arial" w:hAnsi="Arial"/>
                <w:sz w:val="16"/>
                <w:szCs w:val="16"/>
                <w:color w:val="auto"/>
                <w:w w:val="96"/>
              </w:rPr>
              <w:t>Consolidated Statement of Changes in Unitholders’ Equity, (v) Consolidated Statements of Cash Flows and (vi) Notes to Consolidated Financial</w:t>
            </w:r>
          </w:p>
        </w:tc>
      </w:tr>
      <w:tr>
        <w:trPr>
          <w:trHeight w:val="201"/>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gridSpan w:val="25"/>
          </w:tcPr>
          <w:p>
            <w:pPr>
              <w:ind w:left="40"/>
              <w:spacing w:after="0"/>
              <w:rPr>
                <w:sz w:val="20"/>
                <w:szCs w:val="20"/>
                <w:color w:val="auto"/>
              </w:rPr>
            </w:pPr>
            <w:r>
              <w:rPr>
                <w:rFonts w:ascii="Arial" w:cs="Arial" w:eastAsia="Arial" w:hAnsi="Arial"/>
                <w:sz w:val="16"/>
                <w:szCs w:val="16"/>
                <w:color w:val="auto"/>
              </w:rPr>
              <w:t>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18985" cy="200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18985" cy="20066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Filed herewith.</w:t>
      </w:r>
    </w:p>
    <w:p>
      <w:pPr>
        <w:spacing w:after="0" w:line="145"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Confidential treatment has been requested for certain portions thereof pursuant to a Confidential Treatment Request filed with the Securities and Exchange Commission.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Such provisions have been filed separately with the Securities and Exchange Commission.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compensatory plan or arrangement.</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ectPr>
          <w:pgSz w:w="11900" w:h="16838" w:orient="portrait"/>
          <w:cols w:equalWidth="0" w:num="2">
            <w:col w:w="260" w:space="240"/>
            <w:col w:w="10720"/>
          </w:cols>
          <w:pgMar w:left="320" w:top="122" w:right="359" w:bottom="1440" w:gutter="0" w:footer="0" w:header="0"/>
          <w:type w:val="continuous"/>
        </w:sectPr>
      </w:pP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1200" w:type="dxa"/>
            <w:vAlign w:val="bottom"/>
            <w:gridSpan w:val="2"/>
          </w:tcPr>
          <w:p>
            <w:pPr>
              <w:ind w:left="5240"/>
              <w:spacing w:after="0"/>
              <w:rPr>
                <w:sz w:val="20"/>
                <w:szCs w:val="20"/>
                <w:color w:val="auto"/>
              </w:rPr>
            </w:pPr>
            <w:r>
              <w:rPr>
                <w:rFonts w:ascii="Arial" w:cs="Arial" w:eastAsia="Arial" w:hAnsi="Arial"/>
                <w:sz w:val="18"/>
                <w:szCs w:val="18"/>
                <w:b w:val="1"/>
                <w:bCs w:val="1"/>
                <w:color w:val="auto"/>
              </w:rPr>
              <w:t>RATTLER MIDSTREAM LP</w:t>
            </w: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Date:   February 24, 2022</w:t>
            </w:r>
          </w:p>
        </w:tc>
        <w:tc>
          <w:tcPr>
            <w:tcW w:w="5240" w:type="dxa"/>
            <w:vAlign w:val="bottom"/>
          </w:tcPr>
          <w:p>
            <w:pPr>
              <w:spacing w:after="0"/>
              <w:rPr>
                <w:sz w:val="19"/>
                <w:szCs w:val="19"/>
                <w:color w:val="auto"/>
              </w:rPr>
            </w:pPr>
          </w:p>
        </w:tc>
      </w:tr>
      <w:tr>
        <w:trPr>
          <w:trHeight w:val="224"/>
        </w:trPr>
        <w:tc>
          <w:tcPr>
            <w:tcW w:w="5960" w:type="dxa"/>
            <w:vAlign w:val="bottom"/>
          </w:tcPr>
          <w:p>
            <w:pPr>
              <w:ind w:left="524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24"/>
        </w:trPr>
        <w:tc>
          <w:tcPr>
            <w:tcW w:w="59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74"/>
        </w:trPr>
        <w:tc>
          <w:tcPr>
            <w:tcW w:w="5960" w:type="dxa"/>
            <w:vAlign w:val="bottom"/>
          </w:tcPr>
          <w:p>
            <w:pPr>
              <w:ind w:left="5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17"/>
        </w:trPr>
        <w:tc>
          <w:tcPr>
            <w:tcW w:w="5960" w:type="dxa"/>
            <w:vAlign w:val="bottom"/>
          </w:tcPr>
          <w:p>
            <w:pPr>
              <w:ind w:left="524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4"/>
        </w:trPr>
        <w:tc>
          <w:tcPr>
            <w:tcW w:w="5960" w:type="dxa"/>
            <w:vAlign w:val="bottom"/>
          </w:tcPr>
          <w:p>
            <w:pPr>
              <w:ind w:left="524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1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320" w:type="dxa"/>
            <w:vAlign w:val="bottom"/>
            <w:gridSpan w:val="3"/>
          </w:tcPr>
          <w:p>
            <w:pPr>
              <w:ind w:left="3120"/>
              <w:spacing w:after="0"/>
              <w:rPr>
                <w:sz w:val="20"/>
                <w:szCs w:val="20"/>
                <w:color w:val="auto"/>
              </w:rPr>
            </w:pPr>
            <w:r>
              <w:rPr>
                <w:rFonts w:ascii="Arial" w:cs="Arial" w:eastAsia="Arial" w:hAnsi="Arial"/>
                <w:sz w:val="18"/>
                <w:szCs w:val="18"/>
                <w:b w:val="1"/>
                <w:bCs w:val="1"/>
                <w:color w:val="auto"/>
              </w:rPr>
              <w:t>Title</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95"/>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and Director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7"/>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Chief Financial Officer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7"/>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Kaes Van’t Hof</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President and Director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Kaes Van’t Hof</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7"/>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Laurie H. Argo</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Laurie H. Argo</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7"/>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Arturo Vivar</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Arturo Vivar</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7"/>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532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3080" w:type="dxa"/>
            <w:vAlign w:val="bottom"/>
            <w:gridSpan w:val="3"/>
          </w:tcPr>
          <w:p>
            <w:pPr>
              <w:jc w:val="center"/>
              <w:ind w:left="1152"/>
              <w:spacing w:after="0"/>
              <w:rPr>
                <w:sz w:val="20"/>
                <w:szCs w:val="20"/>
                <w:color w:val="auto"/>
              </w:rPr>
            </w:pPr>
            <w:r>
              <w:rPr>
                <w:rFonts w:ascii="Arial" w:cs="Arial" w:eastAsia="Arial" w:hAnsi="Arial"/>
                <w:sz w:val="18"/>
                <w:szCs w:val="18"/>
                <w:color w:val="auto"/>
                <w:w w:val="86"/>
              </w:rPr>
              <w:t>February 24, 2022</w:t>
            </w:r>
          </w:p>
        </w:tc>
      </w:tr>
      <w:tr>
        <w:trPr>
          <w:trHeight w:val="217"/>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909"/>
        </w:trPr>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20" w:type="dxa"/>
            <w:vAlign w:val="bottom"/>
            <w:gridSpan w:val="3"/>
          </w:tcPr>
          <w:p>
            <w:pPr>
              <w:ind w:left="2660"/>
              <w:spacing w:after="0"/>
              <w:rPr>
                <w:sz w:val="20"/>
                <w:szCs w:val="20"/>
                <w:color w:val="auto"/>
              </w:rPr>
            </w:pPr>
            <w:r>
              <w:rPr>
                <w:rFonts w:ascii="Arial" w:cs="Arial" w:eastAsia="Arial" w:hAnsi="Arial"/>
                <w:sz w:val="18"/>
                <w:szCs w:val="18"/>
                <w:color w:val="auto"/>
              </w:rPr>
              <w:t>S-1</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2"/>
        </w:trPr>
        <w:tc>
          <w:tcPr>
            <w:tcW w:w="1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Unitholders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Rattler Midstream 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We have audited the accompanying consolidated balance sheets of Rattler Midstream LP (a Delaware limited partnership) and subsidiaries (the “Company”) as of December 31, 2021 and 2020, the related consolidated statements of operations, statements of comprehensive income, changes in unitholders’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ind w:firstLine="632"/>
        <w:spacing w:after="0" w:line="24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3"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60" w:type="dxa"/>
            <w:vAlign w:val="bottom"/>
          </w:tcPr>
          <w:p>
            <w:pPr>
              <w:jc w:val="right"/>
              <w:ind w:right="177"/>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27"/>
        </w:trPr>
        <w:tc>
          <w:tcPr>
            <w:tcW w:w="8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4"/>
          </w:tcPr>
          <w:p>
            <w:pPr>
              <w:jc w:val="right"/>
              <w:ind w:right="957"/>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7"/>
        </w:trPr>
        <w:tc>
          <w:tcPr>
            <w:tcW w:w="8120" w:type="dxa"/>
            <w:vAlign w:val="bottom"/>
            <w:shd w:val="clear" w:color="auto" w:fill="CCEEFF"/>
          </w:tcPr>
          <w:p>
            <w:pPr>
              <w:ind w:left="38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23,927</w:t>
            </w:r>
          </w:p>
        </w:tc>
        <w:tc>
          <w:tcPr>
            <w:tcW w:w="0" w:type="dxa"/>
            <w:vAlign w:val="bottom"/>
          </w:tcPr>
          <w:p>
            <w:pPr>
              <w:spacing w:after="0"/>
              <w:rPr>
                <w:sz w:val="1"/>
                <w:szCs w:val="1"/>
                <w:color w:val="auto"/>
              </w:rPr>
            </w:pPr>
          </w:p>
        </w:tc>
      </w:tr>
      <w:tr>
        <w:trPr>
          <w:trHeight w:val="211"/>
        </w:trPr>
        <w:tc>
          <w:tcPr>
            <w:tcW w:w="8120" w:type="dxa"/>
            <w:vAlign w:val="bottom"/>
          </w:tcPr>
          <w:p>
            <w:pPr>
              <w:ind w:left="320"/>
              <w:spacing w:after="0"/>
              <w:rPr>
                <w:sz w:val="20"/>
                <w:szCs w:val="20"/>
                <w:color w:val="auto"/>
              </w:rPr>
            </w:pPr>
            <w:r>
              <w:rPr>
                <w:rFonts w:ascii="Arial" w:cs="Arial" w:eastAsia="Arial" w:hAnsi="Arial"/>
                <w:sz w:val="17"/>
                <w:szCs w:val="17"/>
                <w:color w:val="auto"/>
              </w:rPr>
              <w:t>Accounts receivable—related party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57,447</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receivable—third party, net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5,658</w:t>
            </w:r>
          </w:p>
        </w:tc>
        <w:tc>
          <w:tcPr>
            <w:tcW w:w="0" w:type="dxa"/>
            <w:vAlign w:val="bottom"/>
          </w:tcPr>
          <w:p>
            <w:pPr>
              <w:spacing w:after="0"/>
              <w:rPr>
                <w:sz w:val="1"/>
                <w:szCs w:val="1"/>
                <w:color w:val="auto"/>
              </w:rPr>
            </w:pPr>
          </w:p>
        </w:tc>
      </w:tr>
      <w:tr>
        <w:trPr>
          <w:trHeight w:val="211"/>
        </w:trPr>
        <w:tc>
          <w:tcPr>
            <w:tcW w:w="8120" w:type="dxa"/>
            <w:vAlign w:val="bottom"/>
          </w:tcPr>
          <w:p>
            <w:pPr>
              <w:ind w:left="320"/>
              <w:spacing w:after="0"/>
              <w:rPr>
                <w:sz w:val="20"/>
                <w:szCs w:val="20"/>
                <w:color w:val="auto"/>
              </w:rPr>
            </w:pPr>
            <w:r>
              <w:rPr>
                <w:rFonts w:ascii="Arial" w:cs="Arial" w:eastAsia="Arial" w:hAnsi="Arial"/>
                <w:sz w:val="17"/>
                <w:szCs w:val="17"/>
                <w:color w:val="auto"/>
              </w:rPr>
              <w:t>Sourced water inventory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10,108</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101,728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98,267</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20" w:type="dxa"/>
            <w:vAlign w:val="bottom"/>
          </w:tcPr>
          <w:p>
            <w:pPr>
              <w:ind w:left="320"/>
              <w:spacing w:after="0"/>
              <w:rPr>
                <w:sz w:val="20"/>
                <w:szCs w:val="20"/>
                <w:color w:val="auto"/>
              </w:rPr>
            </w:pPr>
            <w:r>
              <w:rPr>
                <w:rFonts w:ascii="Arial" w:cs="Arial" w:eastAsia="Arial" w:hAnsi="Arial"/>
                <w:sz w:val="17"/>
                <w:szCs w:val="17"/>
                <w:color w:val="auto"/>
              </w:rPr>
              <w:t>Land</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85,826</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Property, plant and equipment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1,012,777</w:t>
            </w:r>
          </w:p>
        </w:tc>
        <w:tc>
          <w:tcPr>
            <w:tcW w:w="0" w:type="dxa"/>
            <w:vAlign w:val="bottom"/>
          </w:tcPr>
          <w:p>
            <w:pPr>
              <w:spacing w:after="0"/>
              <w:rPr>
                <w:sz w:val="1"/>
                <w:szCs w:val="1"/>
                <w:color w:val="auto"/>
              </w:rPr>
            </w:pPr>
          </w:p>
        </w:tc>
      </w:tr>
      <w:tr>
        <w:trPr>
          <w:trHeight w:val="211"/>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Accumulated depreciation, amortization and accretion</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(100,728)</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1,052,543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997,875</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20"/>
                <w:szCs w:val="20"/>
                <w:color w:val="auto"/>
              </w:rPr>
            </w:pPr>
            <w:r>
              <w:rPr>
                <w:rFonts w:ascii="Arial" w:cs="Arial" w:eastAsia="Arial" w:hAnsi="Arial"/>
                <w:sz w:val="17"/>
                <w:szCs w:val="17"/>
                <w:color w:val="auto"/>
              </w:rPr>
              <w:t>Right of use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Equity method investments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532,927</w:t>
            </w:r>
          </w:p>
        </w:tc>
        <w:tc>
          <w:tcPr>
            <w:tcW w:w="0" w:type="dxa"/>
            <w:vAlign w:val="bottom"/>
          </w:tcPr>
          <w:p>
            <w:pPr>
              <w:spacing w:after="0"/>
              <w:rPr>
                <w:sz w:val="1"/>
                <w:szCs w:val="1"/>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7"/>
                <w:szCs w:val="17"/>
                <w:color w:val="auto"/>
              </w:rPr>
              <w:t>Real estate assets,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96,687</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Intangible lease assets, net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0" w:type="dxa"/>
            <w:vAlign w:val="bottom"/>
          </w:tcPr>
          <w:p>
            <w:pPr>
              <w:spacing w:after="0"/>
              <w:rPr>
                <w:sz w:val="1"/>
                <w:szCs w:val="1"/>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7"/>
                <w:szCs w:val="17"/>
                <w:color w:val="auto"/>
              </w:rPr>
              <w:t>Deferred tax asset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73,264</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w:t>
            </w:r>
          </w:p>
        </w:tc>
        <w:tc>
          <w:tcPr>
            <w:tcW w:w="0" w:type="dxa"/>
            <w:vAlign w:val="bottom"/>
          </w:tcPr>
          <w:p>
            <w:pPr>
              <w:spacing w:after="0"/>
              <w:rPr>
                <w:sz w:val="1"/>
                <w:szCs w:val="1"/>
                <w:color w:val="auto"/>
              </w:rPr>
            </w:pPr>
          </w:p>
        </w:tc>
      </w:tr>
      <w:tr>
        <w:trPr>
          <w:trHeight w:val="204"/>
        </w:trPr>
        <w:tc>
          <w:tcPr>
            <w:tcW w:w="81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1,921,135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1,808,588</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shd w:val="clear" w:color="auto" w:fill="CCEEFF"/>
          </w:tcPr>
          <w:p>
            <w:pPr>
              <w:ind w:left="2880"/>
              <w:spacing w:after="0" w:line="178" w:lineRule="exact"/>
              <w:rPr>
                <w:sz w:val="20"/>
                <w:szCs w:val="20"/>
                <w:color w:val="auto"/>
              </w:rPr>
            </w:pPr>
            <w:r>
              <w:rPr>
                <w:rFonts w:ascii="Arial" w:cs="Arial" w:eastAsia="Arial" w:hAnsi="Arial"/>
                <w:sz w:val="16"/>
                <w:szCs w:val="16"/>
                <w:b w:val="1"/>
                <w:bCs w:val="1"/>
                <w:color w:val="auto"/>
              </w:rPr>
              <w:t>Liabilities and Unitholders’ Equity</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42,647</w:t>
            </w:r>
          </w:p>
        </w:tc>
        <w:tc>
          <w:tcPr>
            <w:tcW w:w="0" w:type="dxa"/>
            <w:vAlign w:val="bottom"/>
          </w:tcPr>
          <w:p>
            <w:pPr>
              <w:spacing w:after="0"/>
              <w:rPr>
                <w:sz w:val="1"/>
                <w:szCs w:val="1"/>
                <w:color w:val="auto"/>
              </w:rPr>
            </w:pPr>
          </w:p>
        </w:tc>
      </w:tr>
      <w:tr>
        <w:trPr>
          <w:trHeight w:val="211"/>
        </w:trPr>
        <w:tc>
          <w:tcPr>
            <w:tcW w:w="8120" w:type="dxa"/>
            <w:vAlign w:val="bottom"/>
          </w:tcPr>
          <w:p>
            <w:pPr>
              <w:ind w:left="320"/>
              <w:spacing w:after="0"/>
              <w:rPr>
                <w:sz w:val="20"/>
                <w:szCs w:val="20"/>
                <w:color w:val="auto"/>
              </w:rPr>
            </w:pPr>
            <w:r>
              <w:rPr>
                <w:rFonts w:ascii="Arial" w:cs="Arial" w:eastAsia="Arial" w:hAnsi="Arial"/>
                <w:sz w:val="17"/>
                <w:szCs w:val="17"/>
                <w:color w:val="auto"/>
              </w:rPr>
              <w:t>Taxes payable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Short-term lease liability</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11"/>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Asset retirement obligations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43,448</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687,956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569,947</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Asset retirement obligations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15,093</w:t>
            </w: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753,816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628,488</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15)</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7"/>
                <w:szCs w:val="17"/>
                <w:color w:val="auto"/>
              </w:rPr>
              <w:t>Unitholders’ equity: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Partner—Diamondback</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158"/>
        </w:trPr>
        <w:tc>
          <w:tcPr>
            <w:tcW w:w="8120" w:type="dxa"/>
            <w:vAlign w:val="bottom"/>
          </w:tcPr>
          <w:p>
            <w:pPr>
              <w:ind w:left="320"/>
              <w:spacing w:after="0" w:line="159" w:lineRule="exact"/>
              <w:rPr>
                <w:sz w:val="20"/>
                <w:szCs w:val="20"/>
                <w:color w:val="auto"/>
              </w:rPr>
            </w:pPr>
            <w:r>
              <w:rPr>
                <w:rFonts w:ascii="Arial" w:cs="Arial" w:eastAsia="Arial" w:hAnsi="Arial"/>
                <w:sz w:val="17"/>
                <w:szCs w:val="17"/>
                <w:color w:val="auto"/>
                <w:w w:val="91"/>
              </w:rPr>
              <w:t>Common units—public (38,356,771 units issued and outstanding as of December 31, 2021 and 42,356,637 units</w:t>
            </w:r>
          </w:p>
        </w:tc>
        <w:tc>
          <w:tcPr>
            <w:tcW w:w="2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350,230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385,189</w:t>
            </w:r>
          </w:p>
        </w:tc>
        <w:tc>
          <w:tcPr>
            <w:tcW w:w="0" w:type="dxa"/>
            <w:vAlign w:val="bottom"/>
          </w:tcPr>
          <w:p>
            <w:pPr>
              <w:spacing w:after="0"/>
              <w:rPr>
                <w:sz w:val="1"/>
                <w:szCs w:val="1"/>
                <w:color w:val="auto"/>
              </w:rPr>
            </w:pPr>
          </w:p>
        </w:tc>
      </w:tr>
      <w:tr>
        <w:trPr>
          <w:trHeight w:val="211"/>
        </w:trPr>
        <w:tc>
          <w:tcPr>
            <w:tcW w:w="8120" w:type="dxa"/>
            <w:vAlign w:val="bottom"/>
          </w:tcPr>
          <w:p>
            <w:pPr>
              <w:ind w:left="320"/>
              <w:spacing w:after="0"/>
              <w:rPr>
                <w:sz w:val="20"/>
                <w:szCs w:val="20"/>
                <w:color w:val="auto"/>
              </w:rPr>
            </w:pPr>
            <w:r>
              <w:rPr>
                <w:rFonts w:ascii="Arial" w:cs="Arial" w:eastAsia="Arial" w:hAnsi="Arial"/>
                <w:sz w:val="17"/>
                <w:szCs w:val="17"/>
                <w:color w:val="auto"/>
              </w:rPr>
              <w:t>issued and outstanding as of December 31, 2020)</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120" w:type="dxa"/>
            <w:vAlign w:val="bottom"/>
            <w:shd w:val="clear" w:color="auto" w:fill="CCEEFF"/>
          </w:tcPr>
          <w:p>
            <w:pPr>
              <w:ind w:left="320"/>
              <w:spacing w:after="0" w:line="159" w:lineRule="exact"/>
              <w:rPr>
                <w:sz w:val="20"/>
                <w:szCs w:val="20"/>
                <w:color w:val="auto"/>
              </w:rPr>
            </w:pPr>
            <w:r>
              <w:rPr>
                <w:rFonts w:ascii="Arial" w:cs="Arial" w:eastAsia="Arial" w:hAnsi="Arial"/>
                <w:sz w:val="17"/>
                <w:szCs w:val="17"/>
                <w:color w:val="auto"/>
                <w:w w:val="95"/>
              </w:rPr>
              <w:t>Class B units—Diamondback (107,815,152 units issued and outstanding as of December 31, 2021 and as of</w:t>
            </w:r>
          </w:p>
        </w:tc>
        <w:tc>
          <w:tcPr>
            <w:tcW w:w="2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December 31, 2020)</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Rattler Midstream LP unitholders’ equity</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351,878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386,864</w:t>
            </w:r>
          </w:p>
        </w:tc>
        <w:tc>
          <w:tcPr>
            <w:tcW w:w="0" w:type="dxa"/>
            <w:vAlign w:val="bottom"/>
          </w:tcPr>
          <w:p>
            <w:pPr>
              <w:spacing w:after="0"/>
              <w:rPr>
                <w:sz w:val="1"/>
                <w:szCs w:val="1"/>
                <w:color w:val="auto"/>
              </w:rPr>
            </w:pPr>
          </w:p>
        </w:tc>
      </w:tr>
      <w:tr>
        <w:trPr>
          <w:trHeight w:val="211"/>
        </w:trPr>
        <w:tc>
          <w:tcPr>
            <w:tcW w:w="812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815,441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793,638</w:t>
            </w:r>
          </w:p>
        </w:tc>
        <w:tc>
          <w:tcPr>
            <w:tcW w:w="0" w:type="dxa"/>
            <w:vAlign w:val="bottom"/>
          </w:tcPr>
          <w:p>
            <w:pPr>
              <w:spacing w:after="0"/>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 in accumulated other comprehensive income (loss)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4"/>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equity</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1,167,319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1,180,100</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unitholders’ equity</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1,921,135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1,808,588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453"/>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4"/>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84"/>
              </w:rPr>
              <w:t>2019</w:t>
            </w:r>
          </w:p>
        </w:tc>
      </w:tr>
      <w:tr>
        <w:trPr>
          <w:trHeight w:val="204"/>
        </w:trPr>
        <w:tc>
          <w:tcPr>
            <w:tcW w:w="6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6"/>
          </w:tcPr>
          <w:p>
            <w:pPr>
              <w:jc w:val="center"/>
              <w:ind w:left="453"/>
              <w:spacing w:after="0"/>
              <w:rPr>
                <w:sz w:val="20"/>
                <w:szCs w:val="20"/>
                <w:color w:val="auto"/>
              </w:rPr>
            </w:pPr>
            <w:r>
              <w:rPr>
                <w:rFonts w:ascii="Arial" w:cs="Arial" w:eastAsia="Arial" w:hAnsi="Arial"/>
                <w:sz w:val="16"/>
                <w:szCs w:val="16"/>
                <w:b w:val="1"/>
                <w:bCs w:val="1"/>
                <w:color w:val="auto"/>
                <w:w w:val="88"/>
              </w:rPr>
              <w:t>(In thousands, expect per unit amounts)</w:t>
            </w:r>
          </w:p>
        </w:tc>
        <w:tc>
          <w:tcPr>
            <w:tcW w:w="860" w:type="dxa"/>
            <w:vAlign w:val="bottom"/>
          </w:tcPr>
          <w:p>
            <w:pPr>
              <w:spacing w:after="0"/>
              <w:rPr>
                <w:sz w:val="17"/>
                <w:szCs w:val="17"/>
                <w:color w:val="auto"/>
              </w:rPr>
            </w:pPr>
          </w:p>
        </w:tc>
      </w:tr>
      <w:tr>
        <w:trPr>
          <w:trHeight w:val="227"/>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Midstream revenues—related party</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356,498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379,089</w:t>
            </w:r>
          </w:p>
        </w:tc>
        <w:tc>
          <w:tcPr>
            <w:tcW w:w="12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409,120</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Midstream revenues—third party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w:t>
            </w: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Other revenues—related party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5,150</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revenues—third party</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r>
      <w:tr>
        <w:trPr>
          <w:trHeight w:val="217"/>
        </w:trPr>
        <w:tc>
          <w:tcPr>
            <w:tcW w:w="6780" w:type="dxa"/>
            <w:vAlign w:val="bottom"/>
          </w:tcPr>
          <w:p>
            <w:pPr>
              <w:ind w:left="64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396,341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423,905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447,673</w:t>
            </w:r>
          </w:p>
        </w:tc>
      </w:tr>
      <w:tr>
        <w:trPr>
          <w:trHeight w:val="224"/>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Direct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131,393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106,311</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goods sold (exclusive of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62,856</w:t>
            </w: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Real estate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42,336</w:t>
            </w: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Impairment and abandonments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r>
      <w:tr>
        <w:trPr>
          <w:trHeight w:val="224"/>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(Gain) loss on disposal of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r>
      <w:tr>
        <w:trPr>
          <w:trHeight w:val="217"/>
        </w:trPr>
        <w:tc>
          <w:tcPr>
            <w:tcW w:w="6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241,803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228,333</w:t>
            </w:r>
          </w:p>
        </w:tc>
      </w:tr>
      <w:tr>
        <w:trPr>
          <w:trHeight w:val="217"/>
        </w:trPr>
        <w:tc>
          <w:tcPr>
            <w:tcW w:w="678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219,340</w:t>
            </w:r>
          </w:p>
        </w:tc>
      </w:tr>
      <w:tr>
        <w:trPr>
          <w:trHeight w:val="224"/>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6780" w:type="dxa"/>
            <w:vAlign w:val="bottom"/>
          </w:tcPr>
          <w:p>
            <w:pPr>
              <w:ind w:left="32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 of equity method investments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(loss) from equity method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r>
      <w:tr>
        <w:trPr>
          <w:trHeight w:val="217"/>
        </w:trPr>
        <w:tc>
          <w:tcPr>
            <w:tcW w:w="6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r>
      <w:tr>
        <w:trPr>
          <w:trHeight w:val="217"/>
        </w:trPr>
        <w:tc>
          <w:tcPr>
            <w:tcW w:w="6780" w:type="dxa"/>
            <w:vAlign w:val="bottom"/>
          </w:tcPr>
          <w:p>
            <w:pPr>
              <w:spacing w:after="0"/>
              <w:rPr>
                <w:sz w:val="20"/>
                <w:szCs w:val="20"/>
                <w:color w:val="auto"/>
              </w:rPr>
            </w:pPr>
            <w:r>
              <w:rPr>
                <w:rFonts w:ascii="Arial" w:cs="Arial" w:eastAsia="Arial" w:hAnsi="Arial"/>
                <w:sz w:val="16"/>
                <w:szCs w:val="16"/>
                <w:b w:val="1"/>
                <w:bCs w:val="1"/>
                <w:color w:val="auto"/>
              </w:rPr>
              <w:t>Net income (loss) before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154,934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211,972</w:t>
            </w:r>
          </w:p>
        </w:tc>
      </w:tr>
      <w:tr>
        <w:trPr>
          <w:trHeight w:val="224"/>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26,253</w:t>
            </w:r>
          </w:p>
        </w:tc>
      </w:tr>
      <w:tr>
        <w:trPr>
          <w:trHeight w:val="217"/>
        </w:trPr>
        <w:tc>
          <w:tcPr>
            <w:tcW w:w="67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185,719</w:t>
            </w:r>
          </w:p>
        </w:tc>
      </w:tr>
      <w:tr>
        <w:trPr>
          <w:trHeight w:val="224"/>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before initial public offering</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65,995</w:t>
            </w:r>
          </w:p>
        </w:tc>
      </w:tr>
      <w:tr>
        <w:trPr>
          <w:trHeight w:val="217"/>
        </w:trPr>
        <w:tc>
          <w:tcPr>
            <w:tcW w:w="6780" w:type="dxa"/>
            <w:vAlign w:val="bottom"/>
          </w:tcPr>
          <w:p>
            <w:pPr>
              <w:spacing w:after="0"/>
              <w:rPr>
                <w:sz w:val="20"/>
                <w:szCs w:val="20"/>
                <w:color w:val="auto"/>
              </w:rPr>
            </w:pPr>
            <w:r>
              <w:rPr>
                <w:rFonts w:ascii="Arial" w:cs="Arial" w:eastAsia="Arial" w:hAnsi="Arial"/>
                <w:sz w:val="16"/>
                <w:szCs w:val="16"/>
                <w:b w:val="1"/>
                <w:bCs w:val="1"/>
                <w:color w:val="auto"/>
              </w:rPr>
              <w:t>Net income (loss) subsequent to initial public offering</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144,705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119,724</w:t>
            </w:r>
          </w:p>
        </w:tc>
      </w:tr>
      <w:tr>
        <w:trPr>
          <w:trHeight w:val="224"/>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90,922</w:t>
            </w:r>
          </w:p>
        </w:tc>
      </w:tr>
      <w:tr>
        <w:trPr>
          <w:trHeight w:val="217"/>
        </w:trPr>
        <w:tc>
          <w:tcPr>
            <w:tcW w:w="6780" w:type="dxa"/>
            <w:vAlign w:val="bottom"/>
          </w:tcPr>
          <w:p>
            <w:pPr>
              <w:spacing w:after="0"/>
              <w:rPr>
                <w:sz w:val="20"/>
                <w:szCs w:val="20"/>
                <w:color w:val="auto"/>
              </w:rPr>
            </w:pPr>
            <w:r>
              <w:rPr>
                <w:rFonts w:ascii="Arial" w:cs="Arial" w:eastAsia="Arial" w:hAnsi="Arial"/>
                <w:sz w:val="16"/>
                <w:szCs w:val="16"/>
                <w:b w:val="1"/>
                <w:bCs w:val="1"/>
                <w:color w:val="auto"/>
              </w:rPr>
              <w:t>Net income (loss) attributable to Rattler Midstream LP</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6"/>
                <w:szCs w:val="16"/>
                <w:b w:val="1"/>
                <w:bCs w:val="1"/>
                <w:color w:val="auto"/>
              </w:rPr>
              <w:t>Net income (loss) attributable to limited partners per common unit: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24"/>
        </w:trPr>
        <w:tc>
          <w:tcPr>
            <w:tcW w:w="67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limited partner common units outstanding: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678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43,622</w:t>
            </w:r>
          </w:p>
        </w:tc>
      </w:tr>
      <w:tr>
        <w:trPr>
          <w:trHeight w:val="224"/>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4"/>
        </w:trPr>
        <w:tc>
          <w:tcPr>
            <w:tcW w:w="6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185,719</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98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w w:val="97"/>
              </w:rPr>
              <w:t>Change in accumulated other comprehensive income (loss) of equity method investees</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non-controlling interest</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980" w:type="dxa"/>
            <w:vAlign w:val="bottom"/>
          </w:tcPr>
          <w:p>
            <w:pPr>
              <w:ind w:left="220"/>
              <w:spacing w:after="0" w:line="172" w:lineRule="exact"/>
              <w:rPr>
                <w:sz w:val="20"/>
                <w:szCs w:val="20"/>
                <w:color w:val="auto"/>
              </w:rPr>
            </w:pPr>
            <w:r>
              <w:rPr>
                <w:rFonts w:ascii="Arial" w:cs="Arial" w:eastAsia="Arial" w:hAnsi="Arial"/>
                <w:sz w:val="18"/>
                <w:szCs w:val="18"/>
                <w:color w:val="auto"/>
                <w:w w:val="97"/>
              </w:rPr>
              <w:t>Change in accumulated other comprehensive income (loss) of equity method investees</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attributable to limited partner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6"/>
                <w:szCs w:val="16"/>
                <w:b w:val="1"/>
                <w:bCs w:val="1"/>
                <w:color w:val="auto"/>
              </w:rPr>
              <w:t>Comprehensive income (loss)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3"/>
              </w:rPr>
              <w:t>Predecessor</w:t>
            </w: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Partnership</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2"/>
              </w:rPr>
              <w:t>Limited</w:t>
            </w: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24"/>
              <w:spacing w:after="0" w:line="132"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4"/>
              <w:spacing w:after="0" w:line="132" w:lineRule="exact"/>
              <w:rPr>
                <w:sz w:val="20"/>
                <w:szCs w:val="20"/>
                <w:color w:val="auto"/>
              </w:rPr>
            </w:pPr>
            <w:r>
              <w:rPr>
                <w:rFonts w:ascii="Arial" w:cs="Arial" w:eastAsia="Arial" w:hAnsi="Arial"/>
                <w:sz w:val="14"/>
                <w:szCs w:val="14"/>
                <w:b w:val="1"/>
                <w:bCs w:val="1"/>
                <w:color w:val="auto"/>
                <w:w w:val="91"/>
              </w:rPr>
              <w:t>Partners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80" w:type="dxa"/>
            <w:vAlign w:val="bottom"/>
            <w:gridSpan w:val="4"/>
          </w:tcPr>
          <w:p>
            <w:pPr>
              <w:jc w:val="right"/>
              <w:spacing w:after="0" w:line="132" w:lineRule="exact"/>
              <w:rPr>
                <w:sz w:val="20"/>
                <w:szCs w:val="20"/>
                <w:color w:val="auto"/>
              </w:rPr>
            </w:pPr>
            <w:r>
              <w:rPr>
                <w:rFonts w:ascii="Arial" w:cs="Arial" w:eastAsia="Arial" w:hAnsi="Arial"/>
                <w:sz w:val="14"/>
                <w:szCs w:val="14"/>
                <w:b w:val="1"/>
                <w:bCs w:val="1"/>
                <w:color w:val="auto"/>
                <w:w w:val="93"/>
              </w:rPr>
              <w:t>Accumulated Other Accumulated Other</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04"/>
              <w:spacing w:after="0" w:line="132" w:lineRule="exact"/>
              <w:rPr>
                <w:sz w:val="20"/>
                <w:szCs w:val="20"/>
                <w:color w:val="auto"/>
              </w:rPr>
            </w:pPr>
            <w:r>
              <w:rPr>
                <w:rFonts w:ascii="Arial" w:cs="Arial" w:eastAsia="Arial" w:hAnsi="Arial"/>
                <w:sz w:val="14"/>
                <w:szCs w:val="14"/>
                <w:b w:val="1"/>
                <w:bCs w:val="1"/>
                <w:color w:val="auto"/>
                <w:w w:val="94"/>
              </w:rPr>
              <w:t>Member’s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right"/>
              <w:ind w:right="262"/>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3"/>
              <w:spacing w:after="0" w:line="132"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1100" w:type="dxa"/>
            <w:vAlign w:val="bottom"/>
          </w:tcPr>
          <w:p>
            <w:pPr>
              <w:jc w:val="center"/>
              <w:ind w:right="43"/>
              <w:spacing w:after="0" w:line="132"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20" w:type="dxa"/>
            <w:vAlign w:val="bottom"/>
          </w:tcPr>
          <w:p>
            <w:pPr>
              <w:jc w:val="center"/>
              <w:ind w:right="24"/>
              <w:spacing w:after="0" w:line="132"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Partner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right"/>
              <w:ind w:right="42"/>
              <w:spacing w:after="0" w:line="126"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0"/>
                <w:szCs w:val="10"/>
                <w:color w:val="auto"/>
              </w:rPr>
            </w:pPr>
          </w:p>
        </w:tc>
        <w:tc>
          <w:tcPr>
            <w:tcW w:w="8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jc w:val="right"/>
              <w:ind w:right="62"/>
              <w:spacing w:after="0" w:line="126" w:lineRule="exact"/>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0"/>
                <w:szCs w:val="10"/>
                <w:color w:val="auto"/>
              </w:rPr>
            </w:pPr>
          </w:p>
        </w:tc>
        <w:tc>
          <w:tcPr>
            <w:tcW w:w="6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2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0"/>
                <w:szCs w:val="10"/>
                <w:color w:val="auto"/>
              </w:rPr>
            </w:pPr>
          </w:p>
        </w:tc>
        <w:tc>
          <w:tcPr>
            <w:tcW w:w="110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0"/>
                <w:szCs w:val="10"/>
                <w:color w:val="auto"/>
              </w:rPr>
            </w:pPr>
          </w:p>
        </w:tc>
        <w:tc>
          <w:tcPr>
            <w:tcW w:w="112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0"/>
                <w:szCs w:val="10"/>
                <w:color w:val="auto"/>
              </w:rPr>
            </w:pPr>
          </w:p>
        </w:tc>
        <w:tc>
          <w:tcPr>
            <w:tcW w:w="80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Units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b w:val="1"/>
                <w:bCs w:val="1"/>
                <w:color w:val="auto"/>
              </w:rPr>
              <w:t>Balance at December 31,</w:t>
            </w:r>
          </w:p>
        </w:tc>
        <w:tc>
          <w:tcPr>
            <w:tcW w:w="12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527,125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527,126</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rPr>
              <w:t>Contributions from</w:t>
            </w:r>
          </w:p>
        </w:tc>
        <w:tc>
          <w:tcPr>
            <w:tcW w:w="120" w:type="dxa"/>
            <w:vAlign w:val="bottom"/>
          </w:tcPr>
          <w:p>
            <w:pPr>
              <w:spacing w:after="0"/>
              <w:rPr>
                <w:sz w:val="14"/>
                <w:szCs w:val="14"/>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color w:val="auto"/>
              </w:rPr>
              <w:t>458,674</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458,674</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Diamondback</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2"/>
              </w:rPr>
              <w:t>Net proceeds from the</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43,700</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719,376</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719,376</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 - public</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w w:val="92"/>
              </w:rPr>
              <w:t>Net proceeds from the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40"/>
              <w:spacing w:after="0" w:line="158" w:lineRule="exact"/>
              <w:rPr>
                <w:sz w:val="20"/>
                <w:szCs w:val="20"/>
                <w:color w:val="auto"/>
              </w:rPr>
            </w:pPr>
            <w:r>
              <w:rPr>
                <w:rFonts w:ascii="Arial" w:cs="Arial" w:eastAsia="Arial" w:hAnsi="Arial"/>
                <w:sz w:val="16"/>
                <w:szCs w:val="16"/>
                <w:color w:val="auto"/>
              </w:rPr>
              <w:t>offering - General</w:t>
            </w:r>
          </w:p>
        </w:tc>
        <w:tc>
          <w:tcPr>
            <w:tcW w:w="12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Partner</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2"/>
              </w:rPr>
              <w:t>Net proceeds from the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240"/>
              <w:spacing w:after="0" w:line="158" w:lineRule="exact"/>
              <w:rPr>
                <w:sz w:val="20"/>
                <w:szCs w:val="20"/>
                <w:color w:val="auto"/>
              </w:rPr>
            </w:pPr>
            <w:r>
              <w:rPr>
                <w:rFonts w:ascii="Arial" w:cs="Arial" w:eastAsia="Arial" w:hAnsi="Arial"/>
                <w:sz w:val="16"/>
                <w:szCs w:val="16"/>
                <w:color w:val="auto"/>
              </w:rPr>
              <w:t>offering -</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Diamondback</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rPr>
              <w:t>Unit-based</w:t>
            </w:r>
          </w:p>
        </w:tc>
        <w:tc>
          <w:tcPr>
            <w:tcW w:w="120" w:type="dxa"/>
            <w:vAlign w:val="bottom"/>
          </w:tcPr>
          <w:p>
            <w:pPr>
              <w:spacing w:after="0"/>
              <w:rPr>
                <w:sz w:val="14"/>
                <w:szCs w:val="14"/>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4,457</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7"/>
              </w:rPr>
              <w:t>Elimination of current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240"/>
              <w:spacing w:after="0" w:line="158" w:lineRule="exact"/>
              <w:rPr>
                <w:sz w:val="20"/>
                <w:szCs w:val="20"/>
                <w:color w:val="auto"/>
              </w:rPr>
            </w:pPr>
            <w:r>
              <w:rPr>
                <w:rFonts w:ascii="Arial" w:cs="Arial" w:eastAsia="Arial" w:hAnsi="Arial"/>
                <w:sz w:val="16"/>
                <w:szCs w:val="16"/>
                <w:color w:val="auto"/>
              </w:rPr>
              <w:t>and deferred tax</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31,094</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31,094</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rPr>
              <w:t>Allocation of net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40"/>
              <w:spacing w:after="0" w:line="158" w:lineRule="exact"/>
              <w:rPr>
                <w:sz w:val="20"/>
                <w:szCs w:val="20"/>
                <w:color w:val="auto"/>
              </w:rPr>
            </w:pPr>
            <w:r>
              <w:rPr>
                <w:rFonts w:ascii="Arial" w:cs="Arial" w:eastAsia="Arial" w:hAnsi="Arial"/>
                <w:sz w:val="16"/>
                <w:szCs w:val="16"/>
                <w:color w:val="auto"/>
              </w:rPr>
              <w:t>investment to</w:t>
            </w:r>
          </w:p>
        </w:tc>
        <w:tc>
          <w:tcPr>
            <w:tcW w:w="120" w:type="dxa"/>
            <w:vAlign w:val="bottom"/>
          </w:tcPr>
          <w:p>
            <w:pPr>
              <w:spacing w:after="0"/>
              <w:rPr>
                <w:sz w:val="13"/>
                <w:szCs w:val="13"/>
                <w:color w:val="auto"/>
              </w:rPr>
            </w:pP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(322,663)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322,663</w:t>
            </w:r>
          </w:p>
        </w:tc>
        <w:tc>
          <w:tcPr>
            <w:tcW w:w="140" w:type="dxa"/>
            <w:vAlign w:val="bottom"/>
          </w:tcPr>
          <w:p>
            <w:pPr>
              <w:spacing w:after="0"/>
              <w:rPr>
                <w:sz w:val="13"/>
                <w:szCs w:val="13"/>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unitholder</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rPr>
              <w:t>Distributions prior to</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(33,712)</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(33,712)</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the offering</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rPr>
              <w:t>Distributions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40"/>
              <w:spacing w:after="0" w:line="158" w:lineRule="exact"/>
              <w:rPr>
                <w:sz w:val="20"/>
                <w:szCs w:val="20"/>
                <w:color w:val="auto"/>
              </w:rPr>
            </w:pPr>
            <w:r>
              <w:rPr>
                <w:rFonts w:ascii="Arial" w:cs="Arial" w:eastAsia="Arial" w:hAnsi="Arial"/>
                <w:sz w:val="16"/>
                <w:szCs w:val="16"/>
                <w:color w:val="auto"/>
              </w:rPr>
              <w:t>subsequent to the</w:t>
            </w:r>
          </w:p>
        </w:tc>
        <w:tc>
          <w:tcPr>
            <w:tcW w:w="120" w:type="dxa"/>
            <w:vAlign w:val="bottom"/>
          </w:tcPr>
          <w:p>
            <w:pPr>
              <w:spacing w:after="0"/>
              <w:rPr>
                <w:sz w:val="13"/>
                <w:szCs w:val="13"/>
                <w:color w:val="auto"/>
              </w:rPr>
            </w:pP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(726,513)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(14,858)</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(36,657)</w:t>
            </w:r>
          </w:p>
        </w:tc>
        <w:tc>
          <w:tcPr>
            <w:tcW w:w="140" w:type="dxa"/>
            <w:vAlign w:val="bottom"/>
          </w:tcPr>
          <w:p>
            <w:pPr>
              <w:spacing w:after="0"/>
              <w:rPr>
                <w:sz w:val="13"/>
                <w:szCs w:val="13"/>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(778,070)</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offering</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5"/>
              </w:rPr>
              <w:t>Other comprehensive</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w w:val="90"/>
              </w:rPr>
              <w:t>(198)</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20" w:type="dxa"/>
            <w:vAlign w:val="bottom"/>
          </w:tcPr>
          <w:p>
            <w:pPr>
              <w:ind w:left="240"/>
              <w:spacing w:after="0" w:line="161" w:lineRule="exact"/>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4"/>
                <w:szCs w:val="14"/>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color w:val="auto"/>
              </w:rPr>
              <w:t>65,995</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65,995</w:t>
            </w:r>
          </w:p>
        </w:tc>
        <w:tc>
          <w:tcPr>
            <w:tcW w:w="0" w:type="dxa"/>
            <w:vAlign w:val="bottom"/>
          </w:tcPr>
          <w:p>
            <w:pPr>
              <w:spacing w:after="0"/>
              <w:rPr>
                <w:sz w:val="1"/>
                <w:szCs w:val="1"/>
                <w:color w:val="auto"/>
              </w:rPr>
            </w:pPr>
          </w:p>
        </w:tc>
      </w:tr>
      <w:tr>
        <w:trPr>
          <w:trHeight w:val="204"/>
        </w:trPr>
        <w:tc>
          <w:tcPr>
            <w:tcW w:w="1720" w:type="dxa"/>
            <w:vAlign w:val="bottom"/>
          </w:tcPr>
          <w:p>
            <w:pPr>
              <w:ind w:left="240"/>
              <w:spacing w:after="0"/>
              <w:rPr>
                <w:sz w:val="20"/>
                <w:szCs w:val="20"/>
                <w:color w:val="auto"/>
              </w:rPr>
            </w:pPr>
            <w:r>
              <w:rPr>
                <w:rFonts w:ascii="Arial" w:cs="Arial" w:eastAsia="Arial" w:hAnsi="Arial"/>
                <w:sz w:val="16"/>
                <w:szCs w:val="16"/>
                <w:color w:val="auto"/>
              </w:rPr>
              <w:t>prior to the offering</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240"/>
              <w:spacing w:after="0" w:line="158" w:lineRule="exact"/>
              <w:rPr>
                <w:sz w:val="20"/>
                <w:szCs w:val="20"/>
                <w:color w:val="auto"/>
              </w:rPr>
            </w:pPr>
            <w:r>
              <w:rPr>
                <w:rFonts w:ascii="Arial" w:cs="Arial" w:eastAsia="Arial" w:hAnsi="Arial"/>
                <w:sz w:val="16"/>
                <w:szCs w:val="16"/>
                <w:color w:val="auto"/>
              </w:rPr>
              <w:t>subsequent to the</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28,802</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90,922</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119,724</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720" w:type="dxa"/>
            <w:vAlign w:val="bottom"/>
          </w:tcPr>
          <w:p>
            <w:pPr>
              <w:ind w:left="20"/>
              <w:spacing w:after="0" w:line="112" w:lineRule="exact"/>
              <w:rPr>
                <w:sz w:val="20"/>
                <w:szCs w:val="20"/>
                <w:color w:val="auto"/>
              </w:rPr>
            </w:pPr>
            <w:r>
              <w:rPr>
                <w:rFonts w:ascii="Arial" w:cs="Arial" w:eastAsia="Arial" w:hAnsi="Arial"/>
                <w:sz w:val="12"/>
                <w:szCs w:val="12"/>
                <w:b w:val="1"/>
                <w:bCs w:val="1"/>
                <w:color w:val="auto"/>
              </w:rPr>
              <w:t>Balance at December 31,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43,700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737,777</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979</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979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376,928</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ind w:left="740"/>
              <w:spacing w:after="0"/>
              <w:rPr>
                <w:sz w:val="20"/>
                <w:szCs w:val="20"/>
                <w:color w:val="auto"/>
              </w:rPr>
            </w:pPr>
            <w:r>
              <w:rPr>
                <w:rFonts w:ascii="Arial" w:cs="Arial" w:eastAsia="Arial" w:hAnsi="Arial"/>
                <w:sz w:val="16"/>
                <w:szCs w:val="16"/>
                <w:color w:val="auto"/>
                <w:w w:val="90"/>
              </w:rPr>
              <w:t>(198)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(625)</w:t>
            </w:r>
          </w:p>
        </w:tc>
        <w:tc>
          <w:tcPr>
            <w:tcW w:w="20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1,115,840</w:t>
            </w: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Partnership</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63"/>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7"/>
              </w:rPr>
              <w:t>Non-</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Accumulated Other</w:t>
            </w:r>
          </w:p>
        </w:tc>
        <w:tc>
          <w:tcPr>
            <w:tcW w:w="136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0"/>
              </w:rPr>
              <w:t>Interest-Accumulated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1"/>
                <w:szCs w:val="11"/>
                <w:color w:val="auto"/>
              </w:rPr>
            </w:pPr>
          </w:p>
        </w:tc>
        <w:tc>
          <w:tcPr>
            <w:tcW w:w="114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12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rPr>
                <w:sz w:val="10"/>
                <w:szCs w:val="10"/>
                <w:color w:val="auto"/>
              </w:rPr>
            </w:pPr>
          </w:p>
        </w:tc>
        <w:tc>
          <w:tcPr>
            <w:tcW w:w="860" w:type="dxa"/>
            <w:vAlign w:val="bottom"/>
          </w:tcPr>
          <w:p>
            <w:pPr>
              <w:jc w:val="right"/>
              <w:ind w:right="82"/>
              <w:spacing w:after="0" w:line="126"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0"/>
                <w:szCs w:val="10"/>
                <w:color w:val="auto"/>
              </w:rPr>
            </w:pP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Class B Units</w:t>
            </w:r>
          </w:p>
        </w:tc>
        <w:tc>
          <w:tcPr>
            <w:tcW w:w="140" w:type="dxa"/>
            <w:vAlign w:val="bottom"/>
          </w:tcPr>
          <w:p>
            <w:pPr>
              <w:spacing w:after="0"/>
              <w:rPr>
                <w:sz w:val="10"/>
                <w:szCs w:val="10"/>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0"/>
                <w:szCs w:val="10"/>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0"/>
                <w:szCs w:val="10"/>
                <w:color w:val="auto"/>
              </w:rPr>
            </w:pPr>
          </w:p>
        </w:tc>
        <w:tc>
          <w:tcPr>
            <w:tcW w:w="120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0"/>
                <w:szCs w:val="10"/>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737,777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376,928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1,115,840</w:t>
            </w:r>
          </w:p>
        </w:tc>
        <w:tc>
          <w:tcPr>
            <w:tcW w:w="0" w:type="dxa"/>
            <w:vAlign w:val="bottom"/>
          </w:tcPr>
          <w:p>
            <w:pPr>
              <w:spacing w:after="0"/>
              <w:rPr>
                <w:sz w:val="1"/>
                <w:szCs w:val="1"/>
                <w:color w:val="auto"/>
              </w:rPr>
            </w:pPr>
          </w:p>
        </w:tc>
      </w:tr>
      <w:tr>
        <w:trPr>
          <w:trHeight w:val="207"/>
        </w:trPr>
        <w:tc>
          <w:tcPr>
            <w:tcW w:w="2240" w:type="dxa"/>
            <w:vAlign w:val="bottom"/>
          </w:tcPr>
          <w:p>
            <w:pPr>
              <w:ind w:left="240"/>
              <w:spacing w:after="0"/>
              <w:rPr>
                <w:sz w:val="20"/>
                <w:szCs w:val="20"/>
                <w:color w:val="auto"/>
              </w:rPr>
            </w:pPr>
            <w:r>
              <w:rPr>
                <w:rFonts w:ascii="Arial" w:cs="Arial" w:eastAsia="Arial" w:hAnsi="Arial"/>
                <w:sz w:val="16"/>
                <w:szCs w:val="16"/>
                <w:color w:val="auto"/>
              </w:rPr>
              <w:t>Unit-based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8,895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8,895</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8"/>
              </w:rPr>
              <w:t>Distribution equivalent rights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240"/>
              <w:spacing w:after="0" w:line="161" w:lineRule="exact"/>
              <w:rPr>
                <w:sz w:val="20"/>
                <w:szCs w:val="20"/>
                <w:color w:val="auto"/>
              </w:rPr>
            </w:pPr>
            <w:r>
              <w:rPr>
                <w:rFonts w:ascii="Arial" w:cs="Arial" w:eastAsia="Arial" w:hAnsi="Arial"/>
                <w:sz w:val="16"/>
                <w:szCs w:val="16"/>
                <w:color w:val="auto"/>
                <w:w w:val="94"/>
              </w:rPr>
              <w:t>Other comprehensive income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4"/>
        </w:trPr>
        <w:tc>
          <w:tcPr>
            <w:tcW w:w="2240" w:type="dxa"/>
            <w:vAlign w:val="bottom"/>
          </w:tcPr>
          <w:p>
            <w:pPr>
              <w:ind w:left="240"/>
              <w:spacing w:after="0"/>
              <w:rPr>
                <w:sz w:val="20"/>
                <w:szCs w:val="20"/>
                <w:color w:val="auto"/>
              </w:rPr>
            </w:pPr>
            <w:r>
              <w:rPr>
                <w:rFonts w:ascii="Arial" w:cs="Arial" w:eastAsia="Arial" w:hAnsi="Arial"/>
                <w:sz w:val="16"/>
                <w:szCs w:val="16"/>
                <w:color w:val="auto"/>
              </w:rPr>
              <w:t>(loss)</w:t>
            </w: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(115,362)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0" w:type="dxa"/>
            <w:vAlign w:val="bottom"/>
          </w:tcPr>
          <w:p>
            <w:pPr>
              <w:spacing w:after="0"/>
              <w:rPr>
                <w:sz w:val="1"/>
                <w:szCs w:val="1"/>
                <w:color w:val="auto"/>
              </w:rPr>
            </w:pPr>
          </w:p>
        </w:tc>
      </w:tr>
      <w:tr>
        <w:trPr>
          <w:trHeight w:val="161"/>
        </w:trPr>
        <w:tc>
          <w:tcPr>
            <w:tcW w:w="2240" w:type="dxa"/>
            <w:vAlign w:val="bottom"/>
          </w:tcPr>
          <w:p>
            <w:pPr>
              <w:ind w:left="240"/>
              <w:spacing w:after="0" w:line="161" w:lineRule="exact"/>
              <w:rPr>
                <w:sz w:val="20"/>
                <w:szCs w:val="20"/>
                <w:color w:val="auto"/>
              </w:rPr>
            </w:pPr>
            <w:r>
              <w:rPr>
                <w:rFonts w:ascii="Arial" w:cs="Arial" w:eastAsia="Arial" w:hAnsi="Arial"/>
                <w:sz w:val="16"/>
                <w:szCs w:val="16"/>
                <w:color w:val="auto"/>
              </w:rPr>
              <w:t>Change in ownership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9"/>
              </w:rPr>
              <w:t>(330,924)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422,058</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91,134</w:t>
            </w:r>
          </w:p>
        </w:tc>
        <w:tc>
          <w:tcPr>
            <w:tcW w:w="0" w:type="dxa"/>
            <w:vAlign w:val="bottom"/>
          </w:tcPr>
          <w:p>
            <w:pPr>
              <w:spacing w:after="0"/>
              <w:rPr>
                <w:sz w:val="1"/>
                <w:szCs w:val="1"/>
                <w:color w:val="auto"/>
              </w:rPr>
            </w:pPr>
          </w:p>
        </w:tc>
      </w:tr>
      <w:tr>
        <w:trPr>
          <w:trHeight w:val="204"/>
        </w:trPr>
        <w:tc>
          <w:tcPr>
            <w:tcW w:w="2240" w:type="dxa"/>
            <w:vAlign w:val="bottom"/>
          </w:tcPr>
          <w:p>
            <w:pPr>
              <w:ind w:left="240"/>
              <w:spacing w:after="0"/>
              <w:rPr>
                <w:sz w:val="20"/>
                <w:szCs w:val="20"/>
                <w:color w:val="auto"/>
              </w:rPr>
            </w:pPr>
            <w:r>
              <w:rPr>
                <w:rFonts w:ascii="Arial" w:cs="Arial" w:eastAsia="Arial" w:hAnsi="Arial"/>
                <w:sz w:val="16"/>
                <w:szCs w:val="16"/>
                <w:color w:val="auto"/>
                <w:w w:val="94"/>
              </w:rPr>
              <w:t>consolidated subsidiaries, net</w:t>
            </w: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rPr>
              <w:t>Units repurchased for tax</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withholding</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240"/>
              <w:spacing w:after="0" w:line="161" w:lineRule="exact"/>
              <w:rPr>
                <w:sz w:val="20"/>
                <w:szCs w:val="20"/>
                <w:color w:val="auto"/>
              </w:rPr>
            </w:pPr>
            <w:r>
              <w:rPr>
                <w:rFonts w:ascii="Arial" w:cs="Arial" w:eastAsia="Arial" w:hAnsi="Arial"/>
                <w:sz w:val="16"/>
                <w:szCs w:val="16"/>
                <w:color w:val="auto"/>
                <w:w w:val="96"/>
              </w:rPr>
              <w:t>Repurchased units as part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(1,650)</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(14,741)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(14,741)</w:t>
            </w:r>
          </w:p>
        </w:tc>
        <w:tc>
          <w:tcPr>
            <w:tcW w:w="0" w:type="dxa"/>
            <w:vAlign w:val="bottom"/>
          </w:tcPr>
          <w:p>
            <w:pPr>
              <w:spacing w:after="0"/>
              <w:rPr>
                <w:sz w:val="1"/>
                <w:szCs w:val="1"/>
                <w:color w:val="auto"/>
              </w:rPr>
            </w:pPr>
          </w:p>
        </w:tc>
      </w:tr>
      <w:tr>
        <w:trPr>
          <w:trHeight w:val="204"/>
        </w:trPr>
        <w:tc>
          <w:tcPr>
            <w:tcW w:w="2240" w:type="dxa"/>
            <w:vAlign w:val="bottom"/>
          </w:tcPr>
          <w:p>
            <w:pPr>
              <w:ind w:left="240"/>
              <w:spacing w:after="0"/>
              <w:rPr>
                <w:sz w:val="20"/>
                <w:szCs w:val="20"/>
                <w:color w:val="auto"/>
              </w:rPr>
            </w:pPr>
            <w:r>
              <w:rPr>
                <w:rFonts w:ascii="Arial" w:cs="Arial" w:eastAsia="Arial" w:hAnsi="Arial"/>
                <w:sz w:val="16"/>
                <w:szCs w:val="16"/>
                <w:color w:val="auto"/>
              </w:rPr>
              <w:t>unit buyback</w:t>
            </w: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34,691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110,014</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144,705</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60" w:type="dxa"/>
            <w:vAlign w:val="bottom"/>
          </w:tcPr>
          <w:p>
            <w:pPr>
              <w:jc w:val="right"/>
              <w:spacing w:after="0"/>
              <w:rPr>
                <w:sz w:val="20"/>
                <w:szCs w:val="20"/>
                <w:color w:val="auto"/>
              </w:rPr>
            </w:pPr>
            <w:r>
              <w:rPr>
                <w:rFonts w:ascii="Arial" w:cs="Arial" w:eastAsia="Arial" w:hAnsi="Arial"/>
                <w:sz w:val="16"/>
                <w:szCs w:val="16"/>
                <w:color w:val="auto"/>
              </w:rPr>
              <w:t>42,357</w:t>
            </w:r>
          </w:p>
        </w:tc>
        <w:tc>
          <w:tcPr>
            <w:tcW w:w="14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385,189</w:t>
            </w:r>
          </w:p>
        </w:tc>
        <w:tc>
          <w:tcPr>
            <w:tcW w:w="860" w:type="dxa"/>
            <w:vAlign w:val="bottom"/>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793,638</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1,180,100</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Repurchased units as part of unit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(47,591)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(47,591)</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buyback</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Arial" w:cs="Arial" w:eastAsia="Arial" w:hAnsi="Arial"/>
                <w:sz w:val="16"/>
                <w:szCs w:val="16"/>
                <w:color w:val="auto"/>
              </w:rPr>
              <w:t>Unit-based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9,843</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9,843</w:t>
            </w: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units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2240" w:type="dxa"/>
            <w:vAlign w:val="bottom"/>
          </w:tcPr>
          <w:p>
            <w:pPr>
              <w:ind w:left="20"/>
              <w:spacing w:after="0" w:line="161" w:lineRule="exact"/>
              <w:rPr>
                <w:sz w:val="20"/>
                <w:szCs w:val="20"/>
                <w:color w:val="auto"/>
              </w:rPr>
            </w:pPr>
            <w:r>
              <w:rPr>
                <w:rFonts w:ascii="Arial" w:cs="Arial" w:eastAsia="Arial" w:hAnsi="Arial"/>
                <w:sz w:val="16"/>
                <w:szCs w:val="16"/>
                <w:color w:val="auto"/>
              </w:rPr>
              <w:t>Other comprehensive income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402</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6"/>
                <w:szCs w:val="16"/>
                <w:color w:val="auto"/>
              </w:rPr>
              <w:t>(loss)</w:t>
            </w: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Change in ownership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6,032</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(7,695)</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subsidiaries, net</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20"/>
              <w:spacing w:after="0" w:line="161" w:lineRule="exact"/>
              <w:rPr>
                <w:sz w:val="20"/>
                <w:szCs w:val="20"/>
                <w:color w:val="auto"/>
              </w:rPr>
            </w:pPr>
            <w:r>
              <w:rPr>
                <w:rFonts w:ascii="Arial" w:cs="Arial" w:eastAsia="Arial" w:hAnsi="Arial"/>
                <w:sz w:val="16"/>
                <w:szCs w:val="16"/>
                <w:color w:val="auto"/>
                <w:w w:val="96"/>
              </w:rPr>
              <w:t>Cash paid for tax withholding on</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(1,714)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6"/>
                <w:szCs w:val="16"/>
                <w:color w:val="auto"/>
              </w:rPr>
              <w:t>vested common units</w:t>
            </w: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Distribution equivalent rights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(36,540)</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(97,492)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(134,192)</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36,780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126,990</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163,770</w:t>
            </w: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350,230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1,167,319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1"/>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1"/>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2019</w:t>
            </w: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(In thousands)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163,770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144,705</w:t>
            </w:r>
          </w:p>
        </w:tc>
        <w:tc>
          <w:tcPr>
            <w:tcW w:w="100" w:type="dxa"/>
            <w:vAlign w:val="bottom"/>
          </w:tcPr>
          <w:p>
            <w:pPr>
              <w:spacing w:after="0"/>
              <w:rPr>
                <w:sz w:val="16"/>
                <w:szCs w:val="16"/>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185,719</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Provision for deferred income taxes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26,253</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Depreciation, amortization and accretion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42,336</w:t>
            </w: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(Gain) loss on disposal of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4,956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1,524</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Unit-based compensation expense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8,895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5,208</w:t>
            </w: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Impairment and abandonments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(Gain) loss on sale of equity method investments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(Income) loss from equity method investments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(14,779)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9,881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6,329</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Distributions from equity method investments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Accounts receivable—related party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(65,032)</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receivable—third party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r>
      <w:tr>
        <w:trPr>
          <w:trHeight w:val="193"/>
        </w:trPr>
        <w:tc>
          <w:tcPr>
            <w:tcW w:w="7180" w:type="dxa"/>
            <w:vAlign w:val="bottom"/>
          </w:tcPr>
          <w:p>
            <w:pPr>
              <w:ind w:left="660"/>
              <w:spacing w:after="0"/>
              <w:rPr>
                <w:sz w:val="20"/>
                <w:szCs w:val="20"/>
                <w:color w:val="auto"/>
              </w:rPr>
            </w:pPr>
            <w:r>
              <w:rPr>
                <w:rFonts w:ascii="Arial" w:cs="Arial" w:eastAsia="Arial" w:hAnsi="Arial"/>
                <w:sz w:val="15"/>
                <w:szCs w:val="15"/>
                <w:color w:val="auto"/>
              </w:rPr>
              <w:t>Accounts payable and accrued liabilities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2,742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34,299</w:t>
            </w:r>
          </w:p>
        </w:tc>
      </w:tr>
      <w:tr>
        <w:trPr>
          <w:trHeight w:val="202"/>
        </w:trPr>
        <w:tc>
          <w:tcPr>
            <w:tcW w:w="71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5,487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(17,231)</w:t>
            </w:r>
          </w:p>
        </w:tc>
      </w:tr>
      <w:tr>
        <w:trPr>
          <w:trHeight w:val="18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248,100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229,899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218,193</w:t>
            </w:r>
          </w:p>
        </w:tc>
      </w:tr>
      <w:tr>
        <w:trPr>
          <w:trHeight w:val="195"/>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Additions to property, plant and equipment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(32,169)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(136,820)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(241,786)</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Acquisitions of property, plant and equipment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Contributions to equity method investments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(9,085)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(102,499)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(336,601)</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Acquisition of equity method investment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Distributions from equity method investments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39,767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the sale of equity method investments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23,485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Proceeds from the sale of real estate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the sale of fixed assets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80,650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18,743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8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(183,323)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(180,809)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(578,369)</w:t>
            </w:r>
          </w:p>
        </w:tc>
      </w:tr>
      <w:tr>
        <w:trPr>
          <w:trHeight w:val="195"/>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Proceeds from Note Offering</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500,000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Proceeds from borrowings from revolving credit facility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211,000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463,000</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Payments on revolving credit facility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(239,000)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(556,000)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(39,000)</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Debt issuance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(4,310)</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Net proceeds from initial public offering—public</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719,377</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Repurchased units as part of unit buyback</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Distribution to public</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(36,540)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(14,858)</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Distribution to Diamondback</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(763,191)</w:t>
            </w:r>
          </w:p>
        </w:tc>
      </w:tr>
      <w:tr>
        <w:trPr>
          <w:trHeight w:val="193"/>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1,227</w:t>
            </w:r>
          </w:p>
        </w:tc>
      </w:tr>
      <w:tr>
        <w:trPr>
          <w:trHeight w:val="191"/>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(68,807)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(35,796)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362,245</w:t>
            </w:r>
          </w:p>
        </w:tc>
      </w:tr>
      <w:tr>
        <w:trPr>
          <w:trHeight w:val="191"/>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2,069</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23,927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10,633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8,564</w:t>
            </w:r>
          </w:p>
        </w:tc>
      </w:tr>
      <w:tr>
        <w:trPr>
          <w:trHeight w:val="191"/>
        </w:trPr>
        <w:tc>
          <w:tcPr>
            <w:tcW w:w="7180" w:type="dxa"/>
            <w:vAlign w:val="bottom"/>
          </w:tcPr>
          <w:p>
            <w:pPr>
              <w:ind w:left="340"/>
              <w:spacing w:after="0"/>
              <w:rPr>
                <w:sz w:val="20"/>
                <w:szCs w:val="20"/>
                <w:color w:val="auto"/>
              </w:rPr>
            </w:pPr>
            <w:r>
              <w:rPr>
                <w:rFonts w:ascii="Arial" w:cs="Arial" w:eastAsia="Arial" w:hAnsi="Arial"/>
                <w:sz w:val="15"/>
                <w:szCs w:val="15"/>
                <w:color w:val="auto"/>
              </w:rPr>
              <w:t>Cash at end of period</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19,897</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23,927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1"/>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Interest paid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29,160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7,381</w:t>
            </w:r>
          </w:p>
        </w:tc>
        <w:tc>
          <w:tcPr>
            <w:tcW w:w="100" w:type="dxa"/>
            <w:vAlign w:val="bottom"/>
          </w:tcPr>
          <w:p>
            <w:pPr>
              <w:spacing w:after="0"/>
              <w:rPr>
                <w:sz w:val="16"/>
                <w:szCs w:val="16"/>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2,707</w:t>
            </w:r>
          </w:p>
        </w:tc>
      </w:tr>
      <w:tr>
        <w:trPr>
          <w:trHeight w:val="202"/>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Contributions from Diamondback</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456,055</w:t>
            </w:r>
          </w:p>
        </w:tc>
      </w:tr>
      <w:tr>
        <w:trPr>
          <w:trHeight w:val="202"/>
        </w:trPr>
        <w:tc>
          <w:tcPr>
            <w:tcW w:w="7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activity:</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3"/>
        </w:trPr>
        <w:tc>
          <w:tcPr>
            <w:tcW w:w="7180" w:type="dxa"/>
            <w:vAlign w:val="bottom"/>
          </w:tcPr>
          <w:p>
            <w:pPr>
              <w:ind w:left="340"/>
              <w:spacing w:after="0"/>
              <w:rPr>
                <w:sz w:val="20"/>
                <w:szCs w:val="20"/>
                <w:color w:val="auto"/>
              </w:rPr>
            </w:pPr>
            <w:r>
              <w:rPr>
                <w:rFonts w:ascii="Arial" w:cs="Arial" w:eastAsia="Arial" w:hAnsi="Arial"/>
                <w:sz w:val="15"/>
                <w:szCs w:val="15"/>
                <w:color w:val="auto"/>
              </w:rPr>
              <w:t>Increase in long-term assets and inventory due to contributions from Diamondback</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456,055</w:t>
            </w:r>
          </w:p>
        </w:tc>
      </w:tr>
      <w:tr>
        <w:trPr>
          <w:trHeight w:val="202"/>
        </w:trPr>
        <w:tc>
          <w:tcPr>
            <w:tcW w:w="71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liabilities related to capital expenditures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BASIS OF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Rattler Midstream LP (the “Partnership”) is a publicly traded Delaware limited partnership, the common units of which are listed on the Nasdaq Global Select Market under the symbol “RTLR”. The Partnership was formed on July 27, 2018 by Diamondback Energy, Inc. (“Diamondback”) to, among other things, own, operate, develop and acquire midstream and energy-related infrastructure assets in the Midland and Delaware Basins of the Permian Basin. Unless the context requires otherwise, references to “the Partnership” are intended to mean the business and operations of the Partnership and its consolidated subsidiaries and, prior to May 28, 2019 for accounting purposes, the “Predecessor”.</w:t>
      </w:r>
    </w:p>
    <w:p>
      <w:pPr>
        <w:spacing w:after="0" w:line="191"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Prior to the closing on May 28, 2019 of the initial public offering (“IPO”), Diamondback owned all of the general and limited partner interests in the Partnership. In connection with the IPO, the Partnership (i) issued 43,700,000 common units to the public at a price of $17.50 per common unit, representing a 29% voting limited partner interest in the Partnership, for net proceeds of approximately $719.4 million, (ii) issued 107,815,152 Class B units representing an aggregate 71% voting limited partner interest in the Partnership, in exchange for a $1.0 million cash contribution from Diamondback, (iii) issued a general partner interest in the Partnership to Rattler Midstream GP LLC (the “General Partner”) in exchange for a $1.0 million cash contribution from the General Partner and (iv) caused Rattler Midstream Operating LLC (the “Operating Company”) to make a distribution of approximately $726.5 million to Diamondback. Diamondback, as the holder of the Class B units, and the General Partner, as the holder of the general partner interest, are entitled to receive cash preferred distributions equal to 8% per annum on the outstanding amount of their respective $1.0 million capital contributions, payable quarterly.</w:t>
      </w:r>
    </w:p>
    <w:p>
      <w:pPr>
        <w:spacing w:after="0" w:line="19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As of December 31, 2021, the General Partner held a 100% general partner interest in the Partnership and Diamondback beneficially owned all of the Partnership’s 107,815,152 outstanding Class B units, representing approximately 74% of the Partnership’s total units outstanding. Diamondback owns and controls the General Partner.</w:t>
      </w:r>
    </w:p>
    <w:p>
      <w:pPr>
        <w:spacing w:after="0" w:line="21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On December 22, 2021, the Partnership completed an internal reorganization (the “Reorganization”), which included the contribution (the “Contribution”) of 100% of the limited liability company interests the Partnership held in Rattler Midstream Operating LLC (“the Operating Company”) to Rattler Holdings LLC, a newly-formed, wholly-owned subsidiary of the Partnership (the “Holding Company”). As a result of the Contribution, the Holding Company was admitted as a member of the Operating Company, and replaced the Partnership as the managing member of the Operating Company.</w:t>
      </w:r>
    </w:p>
    <w:p>
      <w:pPr>
        <w:spacing w:after="0" w:line="18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As of December 31, 2021, the Holding Company owned a 26% membership interest and 100% of the sole managing membership interest in the Operating Company, and Diamondback owned, through its ownership of the Operating Company units, a 74% economic, non-voting interest in the Operating Company. As required by accounting principles generally accepted in the United States (“GAAP”), the Partnership consolidates 100% of the assets and operations of the Holding Company and the Operating Company in its financial statements and reflects a non-controlling interest to Diamondback. In addition to the Holding Company and the Operating Company, other consolidated subsidiaries of the Partnership include Tall City Towers LLC (“Tall Towers”), Rattler Ajax Processing LLC, Rattler WTG LLC and Rattler OMOG LLC.</w:t>
      </w:r>
    </w:p>
    <w:p>
      <w:pPr>
        <w:spacing w:after="0" w:line="196" w:lineRule="exact"/>
        <w:rPr>
          <w:sz w:val="20"/>
          <w:szCs w:val="20"/>
          <w:color w:val="auto"/>
        </w:rPr>
      </w:pPr>
    </w:p>
    <w:p>
      <w:pPr>
        <w:jc w:val="both"/>
        <w:ind w:firstLine="632"/>
        <w:spacing w:after="0" w:line="238" w:lineRule="auto"/>
        <w:rPr>
          <w:rFonts w:ascii="Arial" w:cs="Arial" w:eastAsia="Arial" w:hAnsi="Arial"/>
          <w:sz w:val="18"/>
          <w:szCs w:val="18"/>
          <w:color w:val="auto"/>
        </w:rPr>
      </w:pPr>
      <w:r>
        <w:rPr>
          <w:rFonts w:ascii="Arial" w:cs="Arial" w:eastAsia="Arial" w:hAnsi="Arial"/>
          <w:sz w:val="18"/>
          <w:szCs w:val="18"/>
          <w:color w:val="auto"/>
        </w:rPr>
        <w:t>The Partnership also owns indirect interests in OMOG JV LLC (“OMOG”); EPIC Crude Holdings, LP (“EPIC”); EPIC Crude Holdings GP, LLC; Wink to Webster Pipeline LLC (“Wink to Webster”); Gray Oak Pipeline, LLC (“Gray Oak”) and Remuda Midstream Holdings LLC which are accounted for as equity method investments as discussed further in Note 7—</w:t>
      </w:r>
      <w:hyperlink w:anchor="page86">
        <w:r>
          <w:rPr>
            <w:rFonts w:ascii="Arial" w:cs="Arial" w:eastAsia="Arial" w:hAnsi="Arial"/>
            <w:sz w:val="18"/>
            <w:szCs w:val="18"/>
            <w:u w:val="single" w:color="auto"/>
            <w:color w:val="0000FF"/>
          </w:rPr>
          <w:t>Equity Method Investments</w:t>
        </w:r>
      </w:hyperlink>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Prior to the Partnership’s IPO on May 28, 2019, the Partnership’s services were performed by the Predecessor, which was a wholly-owned subsidiary of Diamondback. The consolidated results of operations following the completion of the IPO are presented together with the results of operations pertaining to the Predecessor. These consolidated results were prepared from the separate records maintained by the Partnership and may not be indicative of the actual results of operations that might have occurred if the Predecessor had been operated separately during the periods reported.</w:t>
      </w:r>
    </w:p>
    <w:p>
      <w:pPr>
        <w:spacing w:after="0" w:line="18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accompanying consolidated financial statements and related notes thereto were prepared in accordance with GAAP. All significant intercompany balances and transactions have been eliminated upon consolidation. The Partnership reports its operations in one reportable segment. Effective in the first quarter of fiscal 2021, the Partnership determined the former real estate operations segment no longer met the criteria to be an operating segment due to a change in focus and the relative immateriality of the activity.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Certain amounts included in or affecting the Partnership’s financial statements and related notes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1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response to the effects of COVID-19 and actions by OPEC members and other exporting nations on the supply and demand in global oil and natural gas markets, many companies in the oil and natural gas industry, including Diamondback, changed their business plans in response to changing market conditions. Such circumstances generally increase the uncertainty in the Partnership’s accounting estimates, particularly those involving financial forecasts.</w:t>
      </w:r>
    </w:p>
    <w:p>
      <w:pPr>
        <w:spacing w:after="0" w:line="22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it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(i) revenue accruals, (ii) the fair value of long-lived assets and equity method investments, and (iii)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represents unrestricted cash maintained in bank deposit accounts.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Receivable-Related Party</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Accounts receivable-related party consist of receivables from Diamondback, or one of its affiliates. The receivable balance represents operating income less certain cash payments as of December 31, 2021 and 2020.</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Receivable-Third Party</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Accounts receivable-third party consist primarily of receivables from gathering services, sourced water and rental agreements. The customers and lessees remit payment for services performed and/or goods received directly to the Partnership. Most payments for gathering services, sourced water and rental agreements are received within two months after the date of service performed or goods delivered.</w:t>
      </w:r>
    </w:p>
    <w:p>
      <w:pPr>
        <w:spacing w:after="0" w:line="215"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Accounts receivable are stated at amounts due from customers and lessees,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length of time accounts receivable are past due,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At December 31, 2021 and 2020, the Partnership’s allowance for expected losses was immaterial.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Sourced Water Inventory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Sourced water inventory is stated at the lower of historical cost or net realizable value. Inventory costs are determined under the weighted-average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Property, plant and equipment (“PP&amp;E”) consist of land, gathering pipelines, facilities and related equipment, which are stated at the lower of historical cost less accumulated depreciation, amortization and accretion, or fair value, if impaired. The Partnership capitalizes construction-related direct labor and material costs. Maintenance and repair costs are expensed as incurred. PP&amp;E assets are depreciated using the straight-line method over the useful lives of the assets ranging from three to thirty years. Upon sale or retirement of depreciable property, the respective cost and related accumulated depreciation, amortization and accretion is eliminated from the balance sheet and the resulting gain or loss is recognized in the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6"/>
          <w:szCs w:val="16"/>
          <w:color w:val="auto"/>
        </w:rPr>
        <w:t>The Partnership accounts for its corporate joint ventures under the equity method of accounting in accordance with Financial Accounting Standards Board Accounting Standards Codification (“ASC”) Topic 323 “Investments — Equity Method and Joint Ventures.” The Partnership applies the equity method of accounting to investments of less than 50% in an investee over which the Partnership exercises significant influence but does not have control, and investments of greater than 50% in an investee over which the Partnership does not exercise significant influence or have control. Under the equity method of accounting, the Partnership’s share of the investee’s earnings or loss is recognized in the statement of operations. As of December 31, 2021, the Partnership’s proportionate share of the income or loss from equity method investments is recognized on a one-month lag for all equity method investments.</w:t>
      </w:r>
    </w:p>
    <w:p>
      <w:pPr>
        <w:spacing w:after="0" w:line="20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8"/>
          <w:szCs w:val="18"/>
          <w:color w:val="101010"/>
        </w:rPr>
        <w:t>investment in a limited liability company that maintains a specific ownership account for</w:t>
      </w:r>
      <w:r>
        <w:rPr>
          <w:rFonts w:ascii="Arial" w:cs="Arial" w:eastAsia="Arial" w:hAnsi="Arial"/>
          <w:sz w:val="18"/>
          <w:szCs w:val="18"/>
          <w:color w:val="auto"/>
        </w:rPr>
        <w:t xml:space="preserve"> </w:t>
      </w:r>
      <w:r>
        <w:rPr>
          <w:rFonts w:ascii="Arial" w:cs="Arial" w:eastAsia="Arial" w:hAnsi="Arial"/>
          <w:sz w:val="18"/>
          <w:szCs w:val="18"/>
          <w:color w:val="101010"/>
        </w:rPr>
        <w:t>each investor shall be viewed as similar to an investment in a limited partnership for purposes of determining whether a non-controlling investment shall be accounted for using the cost method or the equity method.</w:t>
      </w:r>
    </w:p>
    <w:p>
      <w:pPr>
        <w:spacing w:after="0" w:line="222" w:lineRule="exact"/>
        <w:rPr>
          <w:sz w:val="20"/>
          <w:szCs w:val="20"/>
          <w:color w:val="auto"/>
        </w:rPr>
      </w:pPr>
    </w:p>
    <w:p>
      <w:pPr>
        <w:jc w:val="both"/>
        <w:ind w:firstLine="632"/>
        <w:spacing w:after="0" w:line="253" w:lineRule="auto"/>
        <w:rPr>
          <w:rFonts w:ascii="Arial" w:cs="Arial" w:eastAsia="Arial" w:hAnsi="Arial"/>
          <w:sz w:val="18"/>
          <w:szCs w:val="18"/>
          <w:color w:val="auto"/>
        </w:rPr>
      </w:pPr>
      <w:r>
        <w:rPr>
          <w:rFonts w:ascii="Arial" w:cs="Arial" w:eastAsia="Arial" w:hAnsi="Arial"/>
          <w:sz w:val="18"/>
          <w:szCs w:val="18"/>
          <w:color w:val="auto"/>
        </w:rPr>
        <w:t>The Partnership reviews its investments to determine if a loss in value which is other than a temporary decline has occurred. If such a loss has occurred, the Partnership recognizes an impairment provision. See Note 7—</w:t>
      </w:r>
      <w:hyperlink w:anchor="page86">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 this Annual Report for further discussion of the Partnership’s equity method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Real estate assets are stated at cost, less accumulated depreciation and amortization. The Partnership considers the period of future benefit of each respective asset to determine the appropriate useful life and depreciation and amortization is calculated using the straight-line method over the assigned useful life.</w:t>
      </w:r>
    </w:p>
    <w:p>
      <w:pPr>
        <w:spacing w:after="0" w:line="215"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222"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fair values of above market and below market in-place leases will be recorded based on the present value (using an interest rate which reflects the risks associated with the leases acquired) of the difference between (i) the contractual amounts to be paid pursuant to the in-place leases and (ii) an estimate of fair market lease rates for the corresponding in-place leases measured over a period equal to the non-cancelable term of the lease including any bargain renewal periods. The above market and below market lease values will be capitalized as intangible lease assets or liabilities. Above market lease values will be amortized as an adjustment of rental income over the remaining term of the respective leases. Below market lease values will be amortized as an adjustment of rental income over the remaining term of the respective leases, including any bargain renewal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periods. If a lease were to be terminated prior to its stated expiration, all unamortized amounts of above market and below market in-place lease values relating to that lease would be recorded as an adjustment to rental income.</w:t>
      </w:r>
    </w:p>
    <w:p>
      <w:pPr>
        <w:spacing w:after="0" w:line="207" w:lineRule="exact"/>
        <w:rPr>
          <w:sz w:val="20"/>
          <w:szCs w:val="20"/>
          <w:color w:val="auto"/>
        </w:rPr>
      </w:pPr>
    </w:p>
    <w:p>
      <w:pPr>
        <w:jc w:val="both"/>
        <w:ind w:firstLine="632"/>
        <w:spacing w:after="0" w:line="304" w:lineRule="auto"/>
        <w:rPr>
          <w:sz w:val="20"/>
          <w:szCs w:val="20"/>
          <w:color w:val="auto"/>
        </w:rPr>
      </w:pPr>
      <w:r>
        <w:rPr>
          <w:rFonts w:ascii="Arial" w:cs="Arial" w:eastAsia="Arial" w:hAnsi="Arial"/>
          <w:sz w:val="15"/>
          <w:szCs w:val="15"/>
          <w:color w:val="auto"/>
        </w:rPr>
        <w:t>The fair values of in-place leases will include estimated direct costs associated with obtaining a new tenant, and opportunity costs associated with lost rentals which are avoided by acquiring an in-place lease. Direct costs associated with obtaining a new tenant may include commissions, tenant improvements, and other direct costs and are estimated, in part, by management’s consideration of current market costs to execute a similar lease. These direct costs will be included in intangible lease assets on the balance sheet and will be amortized to expense over the remaining term of the respective leases. The value of opportunity costs will be calculated using the contractual amounts to be paid pursuant to the in-place leases over a market absorption period for a similar lease. These intangibles will be included in intangible lease assets on the balance sheet and will be amortized to expense over the remaining term of the respective leases. If a lease were to be terminated prior to its stated expiration, all unamortized amounts of in-place lease assets relating to that lease would be expensed.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1" w:lineRule="exact"/>
        <w:rPr>
          <w:sz w:val="20"/>
          <w:szCs w:val="20"/>
          <w:color w:val="auto"/>
        </w:rPr>
      </w:pPr>
    </w:p>
    <w:p>
      <w:pPr>
        <w:jc w:val="both"/>
        <w:ind w:firstLine="632"/>
        <w:spacing w:after="0" w:line="291" w:lineRule="auto"/>
        <w:rPr>
          <w:rFonts w:ascii="Arial" w:cs="Arial" w:eastAsia="Arial" w:hAnsi="Arial"/>
          <w:sz w:val="16"/>
          <w:szCs w:val="16"/>
          <w:color w:val="auto"/>
        </w:rPr>
      </w:pPr>
      <w:r>
        <w:rPr>
          <w:rFonts w:ascii="Arial" w:cs="Arial" w:eastAsia="Arial" w:hAnsi="Arial"/>
          <w:sz w:val="16"/>
          <w:szCs w:val="16"/>
          <w:color w:val="auto"/>
        </w:rPr>
        <w:t>The Partnership reviews its long-lived assets whenever events or circumstances indicate the carrying amount of a long-lived asset may not be recoverable. An impairment loss is recognized only if the carrying amount of a long-lived asset is not recoverable from its estimated future undiscounted cash flows. An impairment loss is the difference between the carrying amount and fair value of the asset. See Note 6—</w:t>
      </w:r>
      <w:hyperlink w:anchor="page85">
        <w:r>
          <w:rPr>
            <w:rFonts w:ascii="Arial" w:cs="Arial" w:eastAsia="Arial" w:hAnsi="Arial"/>
            <w:sz w:val="16"/>
            <w:szCs w:val="16"/>
            <w:u w:val="single" w:color="auto"/>
            <w:color w:val="0000FF"/>
          </w:rPr>
          <w:t>Property, Plant and Equipment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the consolidated financial statements in this Annual Report for additional discussion of impairment of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Partnership’s financial instruments consist of cash, accounts receivable, other current assets, accounts payable, accrued liabilities and various other current liabilities, the revolving credit facility and Notes (as defined below). The carrying amount of cash, receivables and payables approximates fair value because of the short-term nature of the instruments. The fair value of the revolving credit facility approximates its carrying value based on the borrowing rates currently available to the Partnership for bank loans with similar terms and maturities. The fair value of the Notes are determined using quoted market prices.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 and Accounts Payable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and accounts payable consist of the following:</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04"/>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5"/>
              </w:rPr>
              <w:t>December 31, 2020</w:t>
            </w:r>
          </w:p>
        </w:tc>
      </w:tr>
      <w:tr>
        <w:trPr>
          <w:trHeight w:val="204"/>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gridSpan w:val="4"/>
          </w:tcPr>
          <w:p>
            <w:pPr>
              <w:jc w:val="right"/>
              <w:ind w:right="1413"/>
              <w:spacing w:after="0"/>
              <w:rPr>
                <w:sz w:val="20"/>
                <w:szCs w:val="20"/>
                <w:color w:val="auto"/>
              </w:rPr>
            </w:pPr>
            <w:r>
              <w:rPr>
                <w:rFonts w:ascii="Arial" w:cs="Arial" w:eastAsia="Arial" w:hAnsi="Arial"/>
                <w:sz w:val="16"/>
                <w:szCs w:val="16"/>
                <w:b w:val="1"/>
                <w:bCs w:val="1"/>
                <w:color w:val="auto"/>
              </w:rPr>
              <w:t>(In thousands)</w:t>
            </w:r>
          </w:p>
        </w:tc>
      </w:tr>
      <w:tr>
        <w:trPr>
          <w:trHeight w:val="22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operating expenses accrued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r>
      <w:tr>
        <w:trPr>
          <w:trHeight w:val="224"/>
        </w:trPr>
        <w:tc>
          <w:tcPr>
            <w:tcW w:w="7200" w:type="dxa"/>
            <w:vAlign w:val="bottom"/>
          </w:tcPr>
          <w:p>
            <w:pPr>
              <w:ind w:left="20"/>
              <w:spacing w:after="0"/>
              <w:rPr>
                <w:sz w:val="20"/>
                <w:szCs w:val="20"/>
                <w:color w:val="auto"/>
              </w:rPr>
            </w:pPr>
            <w:r>
              <w:rPr>
                <w:rFonts w:ascii="Arial" w:cs="Arial" w:eastAsia="Arial" w:hAnsi="Arial"/>
                <w:sz w:val="18"/>
                <w:szCs w:val="18"/>
                <w:color w:val="auto"/>
              </w:rPr>
              <w:t>Interest expense accrued</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12,969</w:t>
            </w: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r>
      <w:tr>
        <w:trPr>
          <w:trHeight w:val="224"/>
        </w:trPr>
        <w:tc>
          <w:tcPr>
            <w:tcW w:w="7200" w:type="dxa"/>
            <w:vAlign w:val="bottom"/>
          </w:tcPr>
          <w:p>
            <w:pPr>
              <w:ind w:left="20"/>
              <w:spacing w:after="0"/>
              <w:rPr>
                <w:sz w:val="20"/>
                <w:szCs w:val="20"/>
                <w:color w:val="auto"/>
              </w:rPr>
            </w:pPr>
            <w:r>
              <w:rPr>
                <w:rFonts w:ascii="Arial" w:cs="Arial" w:eastAsia="Arial" w:hAnsi="Arial"/>
                <w:sz w:val="18"/>
                <w:szCs w:val="18"/>
                <w:color w:val="auto"/>
              </w:rPr>
              <w:t>Sourced water purchases accrued</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3,597</w:t>
            </w: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4"/>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r>
      <w:tr>
        <w:trPr>
          <w:trHeight w:val="242"/>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Partnership may be a party to various legal proceedings, disputes and claims from time to time arising in the course of its business, including those that arise from interpretation of federal and state laws and regulations regarding air and water quality, hazardous and solid waste disposal and other environmental matters. The Partnership records reserves for contingencies related to outstanding legal proceedings, disputes or claims when information available indicates that a loss is probable and the amount of the loss can be reasonably estimated. If a range of amounts can be reasonably estimated and no amount within the range is a better estimate than any other amount, then the minimum amount of the range is accrued. The Partnership’s assessment is based on information known about the pending matters and its experience in contesting, litigating and settling similar matters. Actual outcomes could differ materially from the Partnership’s assessment.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changes in the components of accumulated other comprehensive income, net of related income tax effects: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(In thousands)</w:t>
            </w:r>
          </w:p>
        </w:tc>
      </w:tr>
      <w:tr>
        <w:trPr>
          <w:trHeight w:val="22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4"/>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4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41" w:lineRule="exact"/>
        <w:rPr>
          <w:sz w:val="20"/>
          <w:szCs w:val="20"/>
          <w:color w:val="auto"/>
        </w:rPr>
      </w:pPr>
    </w:p>
    <w:p>
      <w:pPr>
        <w:jc w:val="both"/>
        <w:ind w:firstLine="632"/>
        <w:spacing w:after="0" w:line="283" w:lineRule="auto"/>
        <w:rPr>
          <w:rFonts w:ascii="Arial" w:cs="Arial" w:eastAsia="Arial" w:hAnsi="Arial"/>
          <w:sz w:val="16"/>
          <w:szCs w:val="16"/>
          <w:color w:val="auto"/>
        </w:rPr>
      </w:pPr>
      <w:r>
        <w:rPr>
          <w:rFonts w:ascii="Arial" w:cs="Arial" w:eastAsia="Arial" w:hAnsi="Arial"/>
          <w:sz w:val="16"/>
          <w:szCs w:val="16"/>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unitholder’s equity, tax effected, will occur. If the changes in the Holding Company’s ownership interest in the Operating Company do not result in a change of control, the transactions are accounted for as equity transactions under ASC Topic 810, “Consolidation.” This guidance requires that any differences between the carrying value of the Holding Company’s basis in the Operating Company and the fair value of the consideration received are recognized directly in equity and attributed to the controlling interest. See Note 10—</w:t>
      </w:r>
      <w:hyperlink w:anchor="page91">
        <w:r>
          <w:rPr>
            <w:rFonts w:ascii="Arial" w:cs="Arial" w:eastAsia="Arial" w:hAnsi="Arial"/>
            <w:sz w:val="16"/>
            <w:szCs w:val="16"/>
            <w:u w:val="single" w:color="auto"/>
            <w:color w:val="0000FF"/>
          </w:rPr>
          <w:t>Unitholders’ Equity and Partnership Distributions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discussion of changes in the Partnership’s and Holding Company’s ownership interest during the years ended December 31, 2021, 2020 and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Revenue Recognition</w:t>
      </w:r>
    </w:p>
    <w:p>
      <w:pPr>
        <w:spacing w:after="0" w:line="241"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Midstream revenues are comprised of crude oil and natural gas gathering and transportation services, produced water gathering and disposal and water sourcing and distribution services. The Partnership provides gathering and compression and water handling and treatment services under fee-based contracts based on throughput. Under these arrangements, the Partnership receives fees for gathering crude oil and natural gas, compression services, and water handling, disposal, and treatment services. The revenue the Partnership earns from these arrangements is directly related to (i) in the case of natural gas gathering and compression, the volumes of metered natural gas that the Partnership gathers, compresses, transports and delivers to other transmission delivery points, (ii) in the case of oil gathering, the volumes of metered oil that the Partnership gathers, transports and delivers to other transmission delivery points, (iii) in the case of sourced water services, the quantities of sourced water obtained, transported and delivered to the Partnership’s customers for use in their well drilling and completion operations and (iv) in the case of produced water gathering and disposal services, the quantities of produced water gathered, transported and disposed of for the Partnership’s customers. The Partnership recognizes revenue when it satisfies a performance obligation by delivering a service to a customer. The Partnership earns substantially all of its midstream revenues from commercial agreements with Diamondback and its affiliates.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the Partnership’s types of commercial agreements with Diamondback:</w:t>
      </w:r>
    </w:p>
    <w:p>
      <w:pPr>
        <w:spacing w:after="0" w:line="241" w:lineRule="exact"/>
        <w:rPr>
          <w:sz w:val="20"/>
          <w:szCs w:val="20"/>
          <w:color w:val="auto"/>
        </w:rPr>
      </w:pPr>
    </w:p>
    <w:p>
      <w:pPr>
        <w:ind w:left="1120" w:hanging="245"/>
        <w:spacing w:after="0" w:line="325" w:lineRule="auto"/>
        <w:tabs>
          <w:tab w:leader="none" w:pos="1115" w:val="left"/>
        </w:tabs>
        <w:numPr>
          <w:ilvl w:val="1"/>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Crude Oil Gathering Agreement</w:t>
      </w:r>
      <w:r>
        <w:rPr>
          <w:rFonts w:ascii="Arial" w:cs="Arial" w:eastAsia="Arial" w:hAnsi="Arial"/>
          <w:sz w:val="16"/>
          <w:szCs w:val="16"/>
          <w:color w:val="auto"/>
        </w:rPr>
        <w:t>. Under the crude oil gathering agreements, the Partnership receives a volumetric fee per Bbl for gathering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delivering crude oil produced within the acreage subject to the acreage dedications (the “Acreage Dedications”).</w:t>
      </w:r>
    </w:p>
    <w:p>
      <w:pPr>
        <w:spacing w:after="0" w:line="265" w:lineRule="exact"/>
        <w:rPr>
          <w:rFonts w:ascii="Arial" w:cs="Arial" w:eastAsia="Arial" w:hAnsi="Arial"/>
          <w:sz w:val="16"/>
          <w:szCs w:val="16"/>
          <w:b w:val="1"/>
          <w:bCs w:val="1"/>
          <w:i w:val="1"/>
          <w:iCs w:val="1"/>
          <w:color w:val="auto"/>
        </w:rPr>
      </w:pPr>
    </w:p>
    <w:p>
      <w:pPr>
        <w:jc w:val="both"/>
        <w:ind w:left="1120" w:hanging="245"/>
        <w:spacing w:after="0" w:line="328" w:lineRule="auto"/>
        <w:tabs>
          <w:tab w:leader="none" w:pos="1115" w:val="left"/>
        </w:tabs>
        <w:numPr>
          <w:ilvl w:val="1"/>
          <w:numId w:val="27"/>
        </w:numPr>
        <w:rPr>
          <w:rFonts w:ascii="Arial" w:cs="Arial" w:eastAsia="Arial" w:hAnsi="Arial"/>
          <w:sz w:val="15"/>
          <w:szCs w:val="15"/>
          <w:color w:val="auto"/>
        </w:rPr>
      </w:pPr>
      <w:r>
        <w:rPr>
          <w:rFonts w:ascii="Arial" w:cs="Arial" w:eastAsia="Arial" w:hAnsi="Arial"/>
          <w:sz w:val="15"/>
          <w:szCs w:val="15"/>
          <w:b w:val="1"/>
          <w:bCs w:val="1"/>
          <w:i w:val="1"/>
          <w:iCs w:val="1"/>
          <w:color w:val="auto"/>
        </w:rPr>
        <w:t>Gas Gathering and Compression Agreement</w:t>
      </w:r>
      <w:r>
        <w:rPr>
          <w:rFonts w:ascii="Arial" w:cs="Arial" w:eastAsia="Arial" w:hAnsi="Arial"/>
          <w:sz w:val="15"/>
          <w:szCs w:val="15"/>
          <w:color w:val="auto"/>
        </w:rPr>
        <w:t>. Under the gas gathering and compression agreement, the Partnership received a volumetric fee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 MMBtu for gathering and processing all natural gas produced by Diamondback within the Acreage Dedications. The Partnership divested substantially all of its gas gathering and compression assets in the fourth quarter of 2021 as discussed in Note 4—</w:t>
      </w:r>
      <w:hyperlink w:anchor="page83">
        <w:r>
          <w:rPr>
            <w:rFonts w:ascii="Arial" w:cs="Arial" w:eastAsia="Arial" w:hAnsi="Arial"/>
            <w:sz w:val="15"/>
            <w:szCs w:val="15"/>
            <w:u w:val="single" w:color="auto"/>
            <w:color w:val="0000FF"/>
          </w:rPr>
          <w:t>Acquisitions and Divestitures.</w:t>
        </w:r>
      </w:hyperlink>
    </w:p>
    <w:p>
      <w:pPr>
        <w:spacing w:after="0" w:line="267" w:lineRule="exact"/>
        <w:rPr>
          <w:rFonts w:ascii="Arial" w:cs="Arial" w:eastAsia="Arial" w:hAnsi="Arial"/>
          <w:sz w:val="15"/>
          <w:szCs w:val="15"/>
          <w:color w:val="auto"/>
        </w:rPr>
      </w:pPr>
    </w:p>
    <w:p>
      <w:pPr>
        <w:jc w:val="both"/>
        <w:ind w:left="1120" w:hanging="324"/>
        <w:spacing w:after="0" w:line="248" w:lineRule="auto"/>
        <w:tabs>
          <w:tab w:leader="none" w:pos="111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Produced and Flowback Water Gathering and Disposal Agreements</w:t>
      </w:r>
      <w:r>
        <w:rPr>
          <w:rFonts w:ascii="Arial" w:cs="Arial" w:eastAsia="Arial" w:hAnsi="Arial"/>
          <w:sz w:val="18"/>
          <w:szCs w:val="18"/>
          <w:color w:val="auto"/>
        </w:rPr>
        <w:t>. Under the produced and flowback water gathering and disposal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the Partnership receives a fee for gathering or disposing of water produced from operating crude oil and natural gas wells within the Acreage Dedications. The fee is comprised of a volumetric fee per Bbl for the produced water services the Partnership provides. In addition, the Partnership retains the skim oil that is a part of the produced water. The skim oil is processed by a third party, which provides the Partnership a volumetric fee per Bbl.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ind w:left="1120" w:hanging="245"/>
        <w:spacing w:after="0" w:line="250" w:lineRule="auto"/>
        <w:tabs>
          <w:tab w:leader="none" w:pos="1115"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Sourced Water Purchase and Services Agreements</w:t>
      </w:r>
      <w:r>
        <w:rPr>
          <w:rFonts w:ascii="Arial" w:cs="Arial" w:eastAsia="Arial" w:hAnsi="Arial"/>
          <w:sz w:val="18"/>
          <w:szCs w:val="18"/>
          <w:color w:val="auto"/>
        </w:rPr>
        <w:t>. Under the sourced water purchase and services agreements, the Partnership receives a fee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sourcing, transporting and delivering all raw sourced water and recycled sourced water required by Diamondback and third parties to carry out its oil and natural gas activities within the Acreage Dedications. The fee is comprised of a volumetric fee per Bbl for the type of sourced water services the Partnership provides.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Obligations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For gathering crude oil and natural gas, delivering sourced water, and collecting, recycling and disposing of produced water, the Partnership’s performance obligations are satisfied over time using volumes delivered to measure progress. The Partnership records revenue related to the volumes delivered at the contract price at the time of delivery.</w:t>
      </w:r>
    </w:p>
    <w:p>
      <w:pPr>
        <w:spacing w:after="0" w:line="21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For water sales, each unit sold is generally considered a distinct good and the related performance obligation is generally satisfied at a point in time (i.e., at the time control of the water is transferred to the customer). The Partnership recognizes revenue from the sale of water when its contracted performance obligation to deliver water is satisfied and control of the water is transferred to the customer. This usually occurs when the water is delivered to the location specified in the contract and the title and risks of rewards and ownership are transferred to the customer.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241" w:lineRule="exact"/>
        <w:rPr>
          <w:sz w:val="20"/>
          <w:szCs w:val="20"/>
          <w:color w:val="auto"/>
        </w:rPr>
      </w:pPr>
    </w:p>
    <w:p>
      <w:pPr>
        <w:jc w:val="both"/>
        <w:ind w:right="20" w:firstLine="632"/>
        <w:spacing w:after="0" w:line="325" w:lineRule="auto"/>
        <w:rPr>
          <w:sz w:val="20"/>
          <w:szCs w:val="20"/>
          <w:color w:val="auto"/>
        </w:rPr>
      </w:pPr>
      <w:r>
        <w:rPr>
          <w:rFonts w:ascii="Arial" w:cs="Arial" w:eastAsia="Arial" w:hAnsi="Arial"/>
          <w:sz w:val="16"/>
          <w:szCs w:val="16"/>
          <w:color w:val="auto"/>
        </w:rPr>
        <w:t>Under the Partnership’s revenue agreements, the Partnership invoices customers after the Partnership’s performance obligations have been satisfied, at which point payment is unconditional. As such, the Partnership’s revenue agreements do not give rise to contract assets or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Revenue Recognition</w:t>
      </w:r>
    </w:p>
    <w:p>
      <w:pPr>
        <w:spacing w:after="0" w:line="241"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Partnership recognizes rental revenue from tenants on a straight-line basis over the lease term when collectability is reasonably assured and the tenant has taken possession or controls the physical use of the leased asset. Rental income—related party is comprised of revenues earned from lease agreements with Diamondback and its affiliates. Other real estate revenue is derived from tenants’ use of parking, telecommunications and miscellaneous services. Parking and other miscellaneous service revenue is recognized when the related services are utilized by the tenants. Tenant recoveries related to reimbursement of real estate taxes, insurance, repairs and maintenance and other operating expenses are recognized as revenue in the period the applicable expenses are incurred. The reimbursements are recognized and presented gross, as the Partnership is generally the primary obligor with respect to purchasing goods and services from third-party suppliers, has discretion in selecting the supplier and bears the associated 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Partnership derives substantially all of its revenue from its commercial agreements with Diamondback, which carry initial terms ending in 2034. The Partnership operates produced water disposal wells with other working interest owners. The revenues and expenses related to these disposal activities are reported on a net basis as part of revenues and costs and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1" w:lineRule="exact"/>
        <w:rPr>
          <w:sz w:val="20"/>
          <w:szCs w:val="20"/>
          <w:color w:val="auto"/>
        </w:rPr>
      </w:pPr>
    </w:p>
    <w:p>
      <w:pPr>
        <w:jc w:val="both"/>
        <w:ind w:firstLine="632"/>
        <w:spacing w:after="0" w:line="298" w:lineRule="auto"/>
        <w:rPr>
          <w:sz w:val="20"/>
          <w:szCs w:val="20"/>
          <w:color w:val="auto"/>
        </w:rPr>
      </w:pPr>
      <w:r>
        <w:rPr>
          <w:rFonts w:ascii="Arial" w:cs="Arial" w:eastAsia="Arial" w:hAnsi="Arial"/>
          <w:sz w:val="15"/>
          <w:szCs w:val="15"/>
          <w:color w:val="auto"/>
        </w:rPr>
        <w:t>The Partnership is treated as a corporation for U.S. federal income tax purposes as a result of its election to be treated as a corporation effective May 24, 2019. Subsequent to the effective date of the Partnership’s election, it is subject to U.S. federal and state income tax at corporate rates. The Partnership uses the asset and liability method of accounting for income taxes, under which deferred tax assets and liabilities are recognized for the future tax consequences of</w:t>
      </w:r>
    </w:p>
    <w:p>
      <w:pPr>
        <w:spacing w:after="0" w:line="2" w:lineRule="exact"/>
        <w:rPr>
          <w:sz w:val="20"/>
          <w:szCs w:val="20"/>
          <w:color w:val="auto"/>
        </w:rPr>
      </w:pPr>
    </w:p>
    <w:p>
      <w:pPr>
        <w:jc w:val="both"/>
        <w:ind w:firstLine="5"/>
        <w:spacing w:after="0" w:line="246" w:lineRule="auto"/>
        <w:tabs>
          <w:tab w:leader="none" w:pos="2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and liabilities is recognized in income in the period the rate change is enacted. A valuation allowance is provided for deferred tax assets when it is more likely than not the deferred tax assets will not be realized.</w:t>
      </w:r>
    </w:p>
    <w:p>
      <w:pPr>
        <w:spacing w:after="0" w:line="207" w:lineRule="exact"/>
        <w:rPr>
          <w:sz w:val="20"/>
          <w:szCs w:val="20"/>
          <w:color w:val="auto"/>
        </w:rPr>
      </w:pPr>
    </w:p>
    <w:p>
      <w:pPr>
        <w:jc w:val="both"/>
        <w:ind w:firstLine="632"/>
        <w:spacing w:after="0" w:line="300" w:lineRule="auto"/>
        <w:rPr>
          <w:rFonts w:ascii="Arial" w:cs="Arial" w:eastAsia="Arial" w:hAnsi="Arial"/>
          <w:sz w:val="16"/>
          <w:szCs w:val="16"/>
          <w:color w:val="auto"/>
        </w:rPr>
      </w:pPr>
      <w:r>
        <w:rPr>
          <w:rFonts w:ascii="Arial" w:cs="Arial" w:eastAsia="Arial" w:hAnsi="Arial"/>
          <w:sz w:val="16"/>
          <w:szCs w:val="16"/>
          <w:color w:val="auto"/>
        </w:rPr>
        <w:t>The Partnership is continuing its practice of recognizing interest and penalties related to income tax matters as interest expense and general and administrative expenses, respectively. During the year ended December 31, 2021, there was no interest or penalties associated with uncertain tax positions recognized in the Partnership’s consolidated financial statements. See Note 13—</w:t>
      </w:r>
      <w:hyperlink w:anchor="page94">
        <w:r>
          <w:rPr>
            <w:rFonts w:ascii="Arial" w:cs="Arial" w:eastAsia="Arial" w:hAnsi="Arial"/>
            <w:sz w:val="16"/>
            <w:szCs w:val="16"/>
            <w:u w:val="single" w:color="auto"/>
            <w:color w:val="0000FF"/>
          </w:rPr>
          <w:t>Income Taxes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Control Transactions</w:t>
      </w:r>
    </w:p>
    <w:p>
      <w:pPr>
        <w:spacing w:after="0" w:line="241" w:lineRule="exact"/>
        <w:rPr>
          <w:sz w:val="20"/>
          <w:szCs w:val="20"/>
          <w:color w:val="auto"/>
        </w:rPr>
      </w:pPr>
    </w:p>
    <w:p>
      <w:pPr>
        <w:jc w:val="both"/>
        <w:ind w:firstLine="632"/>
        <w:spacing w:after="0" w:line="278" w:lineRule="auto"/>
        <w:rPr>
          <w:sz w:val="20"/>
          <w:szCs w:val="20"/>
          <w:color w:val="auto"/>
        </w:rPr>
      </w:pPr>
      <w:r>
        <w:rPr>
          <w:rFonts w:ascii="Arial" w:cs="Arial" w:eastAsia="Arial" w:hAnsi="Arial"/>
          <w:sz w:val="16"/>
          <w:szCs w:val="16"/>
          <w:color w:val="auto"/>
        </w:rPr>
        <w:t>A contribution or acquisition of a set of assets and related liabilities (a “set”) to the Partnership from Diamondback is analyzed to determine whether the set meets the definition of a business in Financial Accounting Standards Board (“FASB”) Accounting Standards Codification (“ASC”) Topic 805, “Business Combinations.” A contribution or acquisition of a set of assets that does not constitute a business is recognized at the date of the transfer at its carrying amount in the accounts of Diamondback in accordance with the guidance regarding transactions between entities under common control in ASC 805-</w:t>
      </w:r>
    </w:p>
    <w:p>
      <w:pPr>
        <w:spacing w:after="0" w:line="2" w:lineRule="exact"/>
        <w:rPr>
          <w:sz w:val="20"/>
          <w:szCs w:val="20"/>
          <w:color w:val="auto"/>
        </w:rPr>
      </w:pPr>
    </w:p>
    <w:p>
      <w:pPr>
        <w:jc w:val="both"/>
        <w:ind w:firstLine="5"/>
        <w:spacing w:after="0" w:line="245" w:lineRule="auto"/>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then evaluates whether the asset contribution results in a change in the reporting entity, as defined in ASC Topic 250, “Accounting Changes and Error Corrections.” An asset contribution or acquisition that does not constitute a change in the reporting entity is accounted for prospectively from the date of the transfer, while an asset contribution or acquisition that constitutes a change in the reporting entity would result in retrospective application of the transaction.</w:t>
      </w:r>
    </w:p>
    <w:p>
      <w:pPr>
        <w:spacing w:after="0" w:line="223" w:lineRule="exact"/>
        <w:rPr>
          <w:sz w:val="20"/>
          <w:szCs w:val="20"/>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discussions of common control transactions with Diamondback.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Recently Adopted Pronouncements</w:t>
      </w:r>
    </w:p>
    <w:p>
      <w:pPr>
        <w:spacing w:after="0" w:line="241"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This update was intended to simplify the accounting for income taxes by removing certain exceptions and by clarifying and amending existing guidance. This update was effective for public business entities beginning after December 15, 2020 with early adoption permitted. The Partnership adopted ASU 2019-12 effective January 1, 2021 and does not believe that it has had an impact on its financial position, results of operations or liquidity.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recent accounting pronouncements not yet adopted.</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Partnership considers the applicability and impact of all ASUs. ASUs not listed above were assessed and determined to be either not applicable or clarifications of ASUs previously disclosed.</w:t>
      </w:r>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2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Partnership generates revenues by charging fees on a per unit basis for gathering crude oil and natural gas, delivering and storing sourced water, and collecting, recycling and disposing of produced water.</w:t>
      </w:r>
    </w:p>
    <w:p>
      <w:pPr>
        <w:spacing w:after="0" w:line="20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Surface revenue, rental and real estate income and amortization of out of market leases are outside the scope of ASC Topic 606, “Revenue from Contracts with Customers.”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following table, revenue from contracts with customers is disaggregated by type of service and type of fee.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6"/>
                <w:szCs w:val="16"/>
                <w:b w:val="1"/>
                <w:bCs w:val="1"/>
                <w:color w:val="auto"/>
                <w:w w:val="89"/>
              </w:rPr>
              <w:t>Year Ended December 31,</w:t>
            </w:r>
          </w:p>
        </w:tc>
        <w:tc>
          <w:tcPr>
            <w:tcW w:w="840" w:type="dxa"/>
            <w:vAlign w:val="bottom"/>
            <w:tcBorders>
              <w:bottom w:val="single" w:sz="8" w:color="auto"/>
            </w:tcBorders>
          </w:tcPr>
          <w:p>
            <w:pPr>
              <w:spacing w:after="0"/>
              <w:rPr>
                <w:sz w:val="18"/>
                <w:szCs w:val="18"/>
                <w:color w:val="auto"/>
              </w:rPr>
            </w:pPr>
          </w:p>
        </w:tc>
      </w:tr>
      <w:tr>
        <w:trPr>
          <w:trHeight w:val="204"/>
        </w:trPr>
        <w:tc>
          <w:tcPr>
            <w:tcW w:w="7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r>
      <w:tr>
        <w:trPr>
          <w:trHeight w:val="204"/>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7"/>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Produced water gathering and disposal</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275,882</w:t>
            </w: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Sourced water gathering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115,135</w:t>
            </w: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gathering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w:t>
            </w: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Natural gas gathering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14,317</w:t>
            </w: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contracts (non ASC 606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14,229</w:t>
            </w:r>
          </w:p>
        </w:tc>
      </w:tr>
      <w:tr>
        <w:trPr>
          <w:trHeight w:val="224"/>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Surface revenue (non ASC 606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42"/>
        </w:trPr>
        <w:tc>
          <w:tcPr>
            <w:tcW w:w="7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447,673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ACQUISITIONS AND DIVESTITURES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WTG Joint Venture Acquisition</w:t>
      </w:r>
    </w:p>
    <w:p>
      <w:pPr>
        <w:spacing w:after="0" w:line="228" w:lineRule="exact"/>
        <w:rPr>
          <w:sz w:val="20"/>
          <w:szCs w:val="20"/>
          <w:color w:val="auto"/>
        </w:rPr>
      </w:pPr>
    </w:p>
    <w:p>
      <w:pPr>
        <w:jc w:val="both"/>
        <w:ind w:firstLine="632"/>
        <w:spacing w:after="0" w:line="222" w:lineRule="auto"/>
        <w:rPr>
          <w:sz w:val="20"/>
          <w:szCs w:val="20"/>
          <w:color w:val="auto"/>
        </w:rPr>
      </w:pPr>
      <w:r>
        <w:rPr>
          <w:rFonts w:ascii="Arial" w:cs="Arial" w:eastAsia="Arial" w:hAnsi="Arial"/>
          <w:sz w:val="18"/>
          <w:szCs w:val="18"/>
          <w:color w:val="auto"/>
        </w:rPr>
        <w:t>On October 5, 2021, the Partnership and a private affiliate of an investment fund formed Remuda Midstream Holdings LLC (the “WTG joint venture”). The Operating Company invested approximately $104.0 million in cash to acquire a 25% interest in the WTG joint venture, which then completed an acquisition of a majority interest in WTG Midstream LLC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Drop Down Transaction</w:t>
      </w:r>
    </w:p>
    <w:p>
      <w:pPr>
        <w:spacing w:after="0" w:line="241"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On December 1, 2021, the Partnership acquired certain water midstream assets (the “Drop Down assets”) from Diamondback and certain of its subsidiaries (the “Seller”) for $160.0 million, including closing adjustments, in cash in a drop down transaction (the “Drop Down”). The Partnership and the Seller have also mutually agreed to amend their commercial agreements covering produced water gathering and disposal and sourced water gathering services to add certain Diamondback leasehold acreage to the Partnership’s dedication. The Drop Down was accounted for as a transaction between entities under common control, with assets recognized at Diamondback’s historical carrying value of $159.5 million in the consolidated balance sheet, and the difference between purchase price and historical carrying value recorded as a distribution in the consolidated statement of changes in unitholders’ equity.</w:t>
      </w:r>
    </w:p>
    <w:p>
      <w:pPr>
        <w:spacing w:after="0" w:line="196" w:lineRule="exact"/>
        <w:rPr>
          <w:sz w:val="20"/>
          <w:szCs w:val="20"/>
          <w:color w:val="auto"/>
        </w:rPr>
      </w:pPr>
    </w:p>
    <w:p>
      <w:pPr>
        <w:jc w:val="both"/>
        <w:ind w:firstLine="632"/>
        <w:spacing w:after="0" w:line="287" w:lineRule="auto"/>
        <w:rPr>
          <w:rFonts w:ascii="Arial" w:cs="Arial" w:eastAsia="Arial" w:hAnsi="Arial"/>
          <w:sz w:val="16"/>
          <w:szCs w:val="16"/>
          <w:color w:val="auto"/>
        </w:rPr>
      </w:pPr>
      <w:r>
        <w:rPr>
          <w:rFonts w:ascii="Arial" w:cs="Arial" w:eastAsia="Arial" w:hAnsi="Arial"/>
          <w:sz w:val="16"/>
          <w:szCs w:val="16"/>
          <w:color w:val="auto"/>
        </w:rPr>
        <w:t>The Drop Down assets include nine active saltwater disposal injection wells with 330 MBbl/d of capacity, seven produced water recycling and storage facilities, 20 fresh water pits and approximately 4,000 acres of fee surface. Also included are 55 miles of produced water gathering pipeline and 18 miles of sourced water gathering pipeline. The Partnership funded the transaction with borrowings under its revolving credit facility. The Drop Down, which was approved by the Conflicts Committee of the board of directors of the General Partner, was determined to be an asset acquisition that did not result in a change in the reporting entity. See Note 6—</w:t>
      </w:r>
      <w:hyperlink w:anchor="page85">
        <w:r>
          <w:rPr>
            <w:rFonts w:ascii="Arial" w:cs="Arial" w:eastAsia="Arial" w:hAnsi="Arial"/>
            <w:sz w:val="16"/>
            <w:szCs w:val="16"/>
            <w:u w:val="single" w:color="auto"/>
            <w:color w:val="0000FF"/>
          </w:rPr>
          <w:t>Property, Plant and Equipment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discussion of the Drop Down assets.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Amarillo Rattler Divestiture</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On April 30, 2021, each of the Partnership and its joint venture partner, Amarillo Midstream, LLC, sold its 50% interest in Amarillo Rattler, LLC (“Amarillo Rattler”) to EnLink Midstream Operating, LP for aggregate total gross potential consideration of $75.0 million, consisting of $50.0 million at closing, $10.0 million upon the first anniversary of closing and up to $15.0 million in contingent earn-out payments over a three-year span based upon Diamondback's development activity. The earn-out payments are contingent on connected wells drilled in Diamondback’s leasehold acreage in the specified earn-out area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each year between 2023 and 2025. Net of transaction expenses and working capital adjustments, the Partnership received $23.5 million at closing, with an incremental $5.0 million due in April 2022, which resulted in a gain on sale of equity method investments of $23.0 million in the consolidated statement of operations for the year ended December 31, 2021. The Partnership’s share of the contingent earn-out payments, which cannot exceed $7.5 million in total over the three-year span, will be recorded if and when the contingent payments become realizable.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Real Estate Divestiture</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On June 28, 2021, the Partnership closed on the sale of one of its real estate properties located in Midland, Texas for proceeds of $9.1 million, including closing adjustments. The sale resulted in a loss on disposal of assets of $0.4 million in the consolidated statement of operations for the year ended December 31, 2021.</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Pecos County Gas Gathering Divestiture</w:t>
      </w:r>
    </w:p>
    <w:p>
      <w:pPr>
        <w:spacing w:after="0" w:line="2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6"/>
          <w:szCs w:val="16"/>
          <w:color w:val="auto"/>
        </w:rPr>
        <w:t>On November 1, 2021, the Partnership completed the sale of substantially all of its natural gas gathering assets to Brazos Delaware Gas, LLC, an affiliate of Brazos Midstream, for aggregate total gross potential consideration of $93.0 million, consisting of (i) $83.0 million paid at closing, after customary closing adjustments, (ii) a $5.0 million contingent payment due in 2023 if the aggregate actual deliveries of gas volumes into the gas gathering system by and/or on behalf of Diamondback and its affiliates exceed certain specified thresholds during 2022, and (iii) a $5.0 million contingent payment due in 2024 if the aggregate actual deliveries of gas volumes into the gas gathering system by and/or on behalf of Diamondback and its affiliates exceed certain specified thresholds during 2022 and 2023. The contingent payments will be recorded if and when they become realizable.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Disposal Wells Divestiture</w:t>
      </w:r>
    </w:p>
    <w:p>
      <w:pPr>
        <w:spacing w:after="0" w:line="24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On December 31, 2020, the Partnership closed on a sale agreement through the Operating Company, which included five produced water disposal wells and related easements, licenses and permits for $18.7 million cash after adjustments for use of the disposal wells after the effective date. The sale resulted in a gain on disposal of $4.9 million which is included in (gain) loss on disposal of assets on the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Activity</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Ajax and Energen Assets</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Effective January 1, 2019, Diamondback contributed to the Predecessor certain midstream assets (the “Ajax Assets”) within the Permian Basin that it acquired from Ajax Resources LLC. The carrying value of assets included in this contribution was $21.5 million. The contributed assets were recognized by the Predecessor at Diamondback’s historical basis due to the entities being under common control.</w:t>
      </w:r>
    </w:p>
    <w:p>
      <w:pPr>
        <w:spacing w:after="0" w:line="21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Effective January 1, 2019, Diamondback contributed to the Predecessor certain midstream and real estate assets (“the Energen Assets”) within the Permian Basin that it acquired from Energen Corporation. The carrying value of assets included in this contribution was $279.0 million, net of $3.0 million in associated asset retirement obligations. The contributed assets were recognized by the Predecessor at Diamondback’s historical basis due to the entities being under common control.</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EPIC and Gray Oak Joint Ventures</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the year ended December 31, 2019, Diamondback contributed $149.5 million for equity method investments in the EPIC and Gray Oak joint ventures.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REAL ESTATE ASSETS</w:t>
      </w:r>
    </w:p>
    <w:p>
      <w:pPr>
        <w:spacing w:after="0" w:line="247" w:lineRule="exact"/>
        <w:rPr>
          <w:sz w:val="20"/>
          <w:szCs w:val="20"/>
          <w:color w:val="auto"/>
        </w:rPr>
      </w:pPr>
    </w:p>
    <w:p>
      <w:pPr>
        <w:ind w:right="100" w:firstLine="632"/>
        <w:spacing w:after="0" w:line="262" w:lineRule="auto"/>
        <w:rPr>
          <w:sz w:val="20"/>
          <w:szCs w:val="20"/>
          <w:color w:val="auto"/>
        </w:rPr>
      </w:pPr>
      <w:r>
        <w:rPr>
          <w:rFonts w:ascii="Arial" w:cs="Arial" w:eastAsia="Arial" w:hAnsi="Arial"/>
          <w:sz w:val="18"/>
          <w:szCs w:val="18"/>
          <w:color w:val="auto"/>
        </w:rPr>
        <w:t>The following schedules present the cost and related accumulated depreciation or amortization (as applicable) of the Partnership’s real estate assets and intangible lease 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6"/>
                <w:szCs w:val="16"/>
                <w:b w:val="1"/>
                <w:bCs w:val="1"/>
                <w:color w:val="auto"/>
                <w:w w:val="87"/>
              </w:rPr>
              <w:t>As of December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120"/>
              <w:spacing w:after="0" w:line="145" w:lineRule="exact"/>
              <w:rPr>
                <w:sz w:val="20"/>
                <w:szCs w:val="20"/>
                <w:color w:val="auto"/>
              </w:rPr>
            </w:pPr>
            <w:r>
              <w:rPr>
                <w:rFonts w:ascii="Arial" w:cs="Arial" w:eastAsia="Arial" w:hAnsi="Arial"/>
                <w:sz w:val="16"/>
                <w:szCs w:val="16"/>
                <w:b w:val="1"/>
                <w:bCs w:val="1"/>
                <w:color w:val="auto"/>
                <w:w w:val="87"/>
              </w:rPr>
              <w:t>Estimated Useful</w:t>
            </w:r>
          </w:p>
        </w:tc>
        <w:tc>
          <w:tcPr>
            <w:tcW w:w="480" w:type="dxa"/>
            <w:vAlign w:val="bottom"/>
          </w:tcPr>
          <w:p>
            <w:pPr>
              <w:spacing w:after="0"/>
              <w:rPr>
                <w:sz w:val="12"/>
                <w:szCs w:val="12"/>
                <w:color w:val="auto"/>
              </w:rPr>
            </w:pPr>
          </w:p>
        </w:tc>
        <w:tc>
          <w:tcPr>
            <w:tcW w:w="1520" w:type="dxa"/>
            <w:vAlign w:val="bottom"/>
            <w:vMerge w:val="restart"/>
          </w:tcPr>
          <w:p>
            <w:pPr>
              <w:jc w:val="right"/>
              <w:ind w:right="75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vMerge w:val="restart"/>
          </w:tcPr>
          <w:p>
            <w:pPr>
              <w:jc w:val="right"/>
              <w:ind w:right="7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Lives</w:t>
            </w:r>
          </w:p>
        </w:tc>
        <w:tc>
          <w:tcPr>
            <w:tcW w:w="4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center"/>
              <w:ind w:left="735"/>
              <w:spacing w:after="0"/>
              <w:rPr>
                <w:sz w:val="20"/>
                <w:szCs w:val="20"/>
                <w:color w:val="auto"/>
              </w:rPr>
            </w:pPr>
            <w:r>
              <w:rPr>
                <w:rFonts w:ascii="Arial" w:cs="Arial" w:eastAsia="Arial" w:hAnsi="Arial"/>
                <w:sz w:val="16"/>
                <w:szCs w:val="16"/>
                <w:b w:val="1"/>
                <w:bCs w:val="1"/>
                <w:color w:val="auto"/>
                <w:w w:val="88"/>
              </w:rPr>
              <w:t>(In thousands)</w:t>
            </w: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76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102,918</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760" w:type="dxa"/>
            <w:vAlign w:val="bottom"/>
            <w:gridSpan w:val="2"/>
          </w:tcPr>
          <w:p>
            <w:pPr>
              <w:jc w:val="center"/>
              <w:ind w:left="254"/>
              <w:spacing w:after="0"/>
              <w:rPr>
                <w:sz w:val="20"/>
                <w:szCs w:val="20"/>
                <w:color w:val="auto"/>
              </w:rPr>
            </w:pPr>
            <w:r>
              <w:rPr>
                <w:rFonts w:ascii="Arial" w:cs="Arial" w:eastAsia="Arial" w:hAnsi="Arial"/>
                <w:sz w:val="18"/>
                <w:szCs w:val="18"/>
                <w:color w:val="auto"/>
                <w:w w:val="94"/>
              </w:rPr>
              <w:t>5-15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760" w:type="dxa"/>
            <w:vAlign w:val="bottom"/>
            <w:tcBorders>
              <w:bottom w:val="single" w:sz="8" w:color="CCEEFF"/>
            </w:tcBorders>
            <w:gridSpan w:val="2"/>
          </w:tcPr>
          <w:p>
            <w:pPr>
              <w:jc w:val="center"/>
              <w:ind w:left="254"/>
              <w:spacing w:after="0"/>
              <w:rPr>
                <w:sz w:val="20"/>
                <w:szCs w:val="20"/>
                <w:color w:val="auto"/>
              </w:rPr>
            </w:pPr>
            <w:r>
              <w:rPr>
                <w:rFonts w:ascii="Arial" w:cs="Arial" w:eastAsia="Arial" w:hAnsi="Arial"/>
                <w:sz w:val="18"/>
                <w:szCs w:val="18"/>
                <w:color w:val="auto"/>
                <w:w w:val="94"/>
              </w:rPr>
              <w:t>5-15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real estate assets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242"/>
        </w:trPr>
        <w:tc>
          <w:tcPr>
            <w:tcW w:w="52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investment in real estate, net</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left="735"/>
              <w:spacing w:after="0"/>
              <w:rPr>
                <w:sz w:val="20"/>
                <w:szCs w:val="20"/>
                <w:color w:val="auto"/>
              </w:rPr>
            </w:pPr>
            <w:r>
              <w:rPr>
                <w:rFonts w:ascii="Arial" w:cs="Arial" w:eastAsia="Arial" w:hAnsi="Arial"/>
                <w:sz w:val="16"/>
                <w:szCs w:val="16"/>
                <w:b w:val="1"/>
                <w:bCs w:val="1"/>
                <w:color w:val="auto"/>
                <w:w w:val="87"/>
              </w:rPr>
              <w:t>As of December 31,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220" w:type="dxa"/>
            <w:vAlign w:val="bottom"/>
          </w:tcPr>
          <w:p>
            <w:pPr>
              <w:spacing w:after="0"/>
              <w:rPr>
                <w:sz w:val="12"/>
                <w:szCs w:val="12"/>
                <w:color w:val="auto"/>
              </w:rPr>
            </w:pPr>
          </w:p>
        </w:tc>
        <w:tc>
          <w:tcPr>
            <w:tcW w:w="1880" w:type="dxa"/>
            <w:vAlign w:val="bottom"/>
            <w:gridSpan w:val="3"/>
          </w:tcPr>
          <w:p>
            <w:pPr>
              <w:jc w:val="center"/>
              <w:ind w:right="100"/>
              <w:spacing w:after="0" w:line="145" w:lineRule="exact"/>
              <w:rPr>
                <w:sz w:val="20"/>
                <w:szCs w:val="20"/>
                <w:color w:val="auto"/>
              </w:rPr>
            </w:pPr>
            <w:r>
              <w:rPr>
                <w:rFonts w:ascii="Arial" w:cs="Arial" w:eastAsia="Arial" w:hAnsi="Arial"/>
                <w:sz w:val="16"/>
                <w:szCs w:val="16"/>
                <w:b w:val="1"/>
                <w:bCs w:val="1"/>
                <w:color w:val="auto"/>
                <w:w w:val="88"/>
              </w:rPr>
              <w:t>Weighted Average Useful</w:t>
            </w:r>
          </w:p>
        </w:tc>
        <w:tc>
          <w:tcPr>
            <w:tcW w:w="480" w:type="dxa"/>
            <w:vAlign w:val="bottom"/>
          </w:tcPr>
          <w:p>
            <w:pPr>
              <w:spacing w:after="0"/>
              <w:rPr>
                <w:sz w:val="12"/>
                <w:szCs w:val="12"/>
                <w:color w:val="auto"/>
              </w:rPr>
            </w:pPr>
          </w:p>
        </w:tc>
        <w:tc>
          <w:tcPr>
            <w:tcW w:w="1520" w:type="dxa"/>
            <w:vAlign w:val="bottom"/>
            <w:vMerge w:val="restart"/>
          </w:tcPr>
          <w:p>
            <w:pPr>
              <w:jc w:val="right"/>
              <w:ind w:right="75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vMerge w:val="restart"/>
          </w:tcPr>
          <w:p>
            <w:pPr>
              <w:jc w:val="right"/>
              <w:ind w:right="7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7"/>
              </w:rPr>
              <w:t>Lives</w:t>
            </w:r>
          </w:p>
        </w:tc>
        <w:tc>
          <w:tcPr>
            <w:tcW w:w="4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1"/>
              </w:rPr>
              <w:t>(Months)</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3"/>
          </w:tcPr>
          <w:p>
            <w:pPr>
              <w:jc w:val="center"/>
              <w:ind w:left="735"/>
              <w:spacing w:after="0"/>
              <w:rPr>
                <w:sz w:val="20"/>
                <w:szCs w:val="20"/>
                <w:color w:val="auto"/>
              </w:rPr>
            </w:pPr>
            <w:r>
              <w:rPr>
                <w:rFonts w:ascii="Arial" w:cs="Arial" w:eastAsia="Arial" w:hAnsi="Arial"/>
                <w:sz w:val="16"/>
                <w:szCs w:val="16"/>
                <w:b w:val="1"/>
                <w:bCs w:val="1"/>
                <w:color w:val="auto"/>
                <w:w w:val="88"/>
              </w:rPr>
              <w:t>(In thousands)</w:t>
            </w: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In-place lease intangibles</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In-place lease intangibles, net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2"/>
                <w:szCs w:val="22"/>
                <w:color w:val="auto"/>
              </w:rPr>
            </w:pPr>
          </w:p>
        </w:tc>
        <w:tc>
          <w:tcPr>
            <w:tcW w:w="17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Above-market lease intangibles</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Above-market lease intangibles, net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7"/>
        </w:trPr>
        <w:tc>
          <w:tcPr>
            <w:tcW w:w="5220" w:type="dxa"/>
            <w:vAlign w:val="bottom"/>
          </w:tcPr>
          <w:p>
            <w:pPr>
              <w:ind w:left="780"/>
              <w:spacing w:after="0"/>
              <w:rPr>
                <w:sz w:val="20"/>
                <w:szCs w:val="20"/>
                <w:color w:val="auto"/>
              </w:rPr>
            </w:pPr>
            <w:r>
              <w:rPr>
                <w:rFonts w:ascii="Arial" w:cs="Arial" w:eastAsia="Arial" w:hAnsi="Arial"/>
                <w:sz w:val="18"/>
                <w:szCs w:val="18"/>
                <w:color w:val="auto"/>
              </w:rPr>
              <w:t>Total intangible lease assets, net</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The Partnership sold one if its real estate properties in the second quarter of 2021. See Note 4—</w:t>
      </w:r>
      <w:hyperlink w:anchor="page83">
        <w:r>
          <w:rPr>
            <w:rFonts w:ascii="Arial" w:cs="Arial" w:eastAsia="Arial" w:hAnsi="Arial"/>
            <w:sz w:val="16"/>
            <w:szCs w:val="16"/>
            <w:u w:val="single" w:color="auto"/>
            <w:color w:val="0000FF"/>
          </w:rPr>
          <w:t>Acquisitions and Divestitures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discussion regarding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sale.</w:t>
      </w:r>
    </w:p>
    <w:p>
      <w:pPr>
        <w:spacing w:after="0" w:line="229" w:lineRule="exact"/>
        <w:rPr>
          <w:sz w:val="20"/>
          <w:szCs w:val="20"/>
          <w:color w:val="auto"/>
        </w:rPr>
      </w:pPr>
    </w:p>
    <w:p>
      <w:pPr>
        <w:jc w:val="both"/>
        <w:ind w:right="100" w:firstLine="632"/>
        <w:spacing w:after="0" w:line="262" w:lineRule="auto"/>
        <w:rPr>
          <w:sz w:val="20"/>
          <w:szCs w:val="20"/>
          <w:color w:val="auto"/>
        </w:rPr>
      </w:pPr>
      <w:r>
        <w:rPr>
          <w:rFonts w:ascii="Arial" w:cs="Arial" w:eastAsia="Arial" w:hAnsi="Arial"/>
          <w:sz w:val="18"/>
          <w:szCs w:val="18"/>
          <w:color w:val="auto"/>
        </w:rPr>
        <w:t>Depreciation and amortization expense for real estate assets was $4.3 million, $8.0 million and $7.6 million for the years ended December 31, 2021, 2020 and 2019, respectively.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the Partnership’s estimated amortization expense related to lease intangibles for the periods indicated (in thousands):</w:t>
      </w:r>
    </w:p>
    <w:p>
      <w:pPr>
        <w:spacing w:after="0" w:line="276"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w w:val="91"/>
              </w:rPr>
              <w:t>Thereafter</w:t>
            </w:r>
          </w:p>
        </w:tc>
      </w:tr>
      <w:tr>
        <w:trPr>
          <w:trHeight w:val="220"/>
        </w:trPr>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315" w:lineRule="exact"/>
        <w:rPr>
          <w:sz w:val="20"/>
          <w:szCs w:val="20"/>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of the Partnership’s significant real estate divestiture.</w:t>
      </w: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PLANT AND EQUIPMENT</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Partnership’s property, plant and equipment:</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45"/>
        </w:trPr>
        <w:tc>
          <w:tcPr>
            <w:tcW w:w="6620" w:type="dxa"/>
            <w:vAlign w:val="bottom"/>
          </w:tcPr>
          <w:p>
            <w:pPr>
              <w:spacing w:after="0"/>
              <w:rPr>
                <w:sz w:val="12"/>
                <w:szCs w:val="12"/>
                <w:color w:val="auto"/>
              </w:rPr>
            </w:pPr>
          </w:p>
        </w:tc>
        <w:tc>
          <w:tcPr>
            <w:tcW w:w="1440" w:type="dxa"/>
            <w:vAlign w:val="bottom"/>
            <w:gridSpan w:val="2"/>
          </w:tcPr>
          <w:p>
            <w:pPr>
              <w:jc w:val="center"/>
              <w:ind w:right="120"/>
              <w:spacing w:after="0" w:line="145" w:lineRule="exact"/>
              <w:rPr>
                <w:sz w:val="20"/>
                <w:szCs w:val="20"/>
                <w:color w:val="auto"/>
              </w:rPr>
            </w:pPr>
            <w:r>
              <w:rPr>
                <w:rFonts w:ascii="Arial" w:cs="Arial" w:eastAsia="Arial" w:hAnsi="Arial"/>
                <w:sz w:val="16"/>
                <w:szCs w:val="16"/>
                <w:b w:val="1"/>
                <w:bCs w:val="1"/>
                <w:color w:val="auto"/>
                <w:w w:val="89"/>
              </w:rPr>
              <w:t>Estimated Useful</w:t>
            </w:r>
          </w:p>
        </w:tc>
        <w:tc>
          <w:tcPr>
            <w:tcW w:w="320" w:type="dxa"/>
            <w:vAlign w:val="bottom"/>
          </w:tcPr>
          <w:p>
            <w:pPr>
              <w:spacing w:after="0"/>
              <w:rPr>
                <w:sz w:val="12"/>
                <w:szCs w:val="12"/>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8"/>
        </w:trPr>
        <w:tc>
          <w:tcPr>
            <w:tcW w:w="6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Lives</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20" w:type="dxa"/>
            <w:vAlign w:val="bottom"/>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Produced water disposal systems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654,545</w:t>
            </w:r>
          </w:p>
        </w:tc>
        <w:tc>
          <w:tcPr>
            <w:tcW w:w="0" w:type="dxa"/>
            <w:vAlign w:val="bottom"/>
          </w:tcPr>
          <w:p>
            <w:pPr>
              <w:spacing w:after="0"/>
              <w:rPr>
                <w:sz w:val="1"/>
                <w:szCs w:val="1"/>
                <w:color w:val="auto"/>
              </w:rPr>
            </w:pPr>
          </w:p>
        </w:tc>
      </w:tr>
      <w:tr>
        <w:trPr>
          <w:trHeight w:val="224"/>
        </w:trPr>
        <w:tc>
          <w:tcPr>
            <w:tcW w:w="6620" w:type="dxa"/>
            <w:vAlign w:val="bottom"/>
          </w:tcPr>
          <w:p>
            <w:pPr>
              <w:spacing w:after="0" w:line="224" w:lineRule="exact"/>
              <w:rPr>
                <w:sz w:val="20"/>
                <w:szCs w:val="20"/>
                <w:color w:val="auto"/>
              </w:rPr>
            </w:pPr>
            <w:r>
              <w:rPr>
                <w:rFonts w:ascii="Arial" w:cs="Arial" w:eastAsia="Arial" w:hAnsi="Arial"/>
                <w:sz w:val="18"/>
                <w:szCs w:val="18"/>
                <w:color w:val="auto"/>
              </w:rPr>
              <w:t>Crude oil gathering systems</w:t>
            </w:r>
            <w:r>
              <w:rPr>
                <w:rFonts w:ascii="Arial" w:cs="Arial" w:eastAsia="Arial" w:hAnsi="Arial"/>
                <w:sz w:val="22"/>
                <w:szCs w:val="22"/>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133,998</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spacing w:after="0" w:line="224" w:lineRule="exact"/>
              <w:rPr>
                <w:sz w:val="20"/>
                <w:szCs w:val="20"/>
                <w:color w:val="auto"/>
              </w:rPr>
            </w:pPr>
            <w:r>
              <w:rPr>
                <w:rFonts w:ascii="Arial" w:cs="Arial" w:eastAsia="Arial" w:hAnsi="Arial"/>
                <w:sz w:val="18"/>
                <w:szCs w:val="18"/>
                <w:color w:val="auto"/>
              </w:rPr>
              <w:t>Natural gas gathering and compression systems</w:t>
            </w:r>
            <w:r>
              <w:rPr>
                <w:rFonts w:ascii="Arial" w:cs="Arial" w:eastAsia="Arial" w:hAnsi="Arial"/>
                <w:sz w:val="22"/>
                <w:szCs w:val="22"/>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112,072</w:t>
            </w:r>
          </w:p>
        </w:tc>
        <w:tc>
          <w:tcPr>
            <w:tcW w:w="0" w:type="dxa"/>
            <w:vAlign w:val="bottom"/>
          </w:tcPr>
          <w:p>
            <w:pPr>
              <w:spacing w:after="0"/>
              <w:rPr>
                <w:sz w:val="1"/>
                <w:szCs w:val="1"/>
                <w:color w:val="auto"/>
              </w:rPr>
            </w:pPr>
          </w:p>
        </w:tc>
      </w:tr>
      <w:tr>
        <w:trPr>
          <w:trHeight w:val="224"/>
        </w:trPr>
        <w:tc>
          <w:tcPr>
            <w:tcW w:w="6620" w:type="dxa"/>
            <w:vAlign w:val="bottom"/>
          </w:tcPr>
          <w:p>
            <w:pPr>
              <w:spacing w:after="0" w:line="224" w:lineRule="exact"/>
              <w:rPr>
                <w:sz w:val="20"/>
                <w:szCs w:val="20"/>
                <w:color w:val="auto"/>
              </w:rPr>
            </w:pPr>
            <w:r>
              <w:rPr>
                <w:rFonts w:ascii="Arial" w:cs="Arial" w:eastAsia="Arial" w:hAnsi="Arial"/>
                <w:sz w:val="18"/>
                <w:szCs w:val="18"/>
                <w:color w:val="auto"/>
              </w:rPr>
              <w:t>Sourced water gathering systems</w:t>
            </w:r>
            <w:r>
              <w:rPr>
                <w:rFonts w:ascii="Arial" w:cs="Arial" w:eastAsia="Arial" w:hAnsi="Arial"/>
                <w:sz w:val="22"/>
                <w:szCs w:val="22"/>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166,549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112,162</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620" w:type="dxa"/>
            <w:vAlign w:val="bottom"/>
          </w:tcPr>
          <w:p>
            <w:pPr>
              <w:ind w:left="320"/>
              <w:spacing w:after="0"/>
              <w:rPr>
                <w:sz w:val="20"/>
                <w:szCs w:val="20"/>
                <w:color w:val="auto"/>
              </w:rPr>
            </w:pPr>
            <w:r>
              <w:rPr>
                <w:rFonts w:ascii="Arial" w:cs="Arial" w:eastAsia="Arial" w:hAnsi="Arial"/>
                <w:sz w:val="18"/>
                <w:szCs w:val="18"/>
                <w:color w:val="auto"/>
              </w:rPr>
              <w:t>Total property, plant and equipment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1,075,405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1,012,777</w:t>
            </w:r>
          </w:p>
        </w:tc>
        <w:tc>
          <w:tcPr>
            <w:tcW w:w="0" w:type="dxa"/>
            <w:vAlign w:val="bottom"/>
          </w:tcPr>
          <w:p>
            <w:pPr>
              <w:spacing w:after="0"/>
              <w:rPr>
                <w:sz w:val="1"/>
                <w:szCs w:val="1"/>
                <w:color w:val="auto"/>
              </w:rPr>
            </w:pPr>
          </w:p>
        </w:tc>
      </w:tr>
      <w:tr>
        <w:trPr>
          <w:trHeight w:val="224"/>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accumulated depreciation, amortization and accretion</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(100,728)</w:t>
            </w:r>
          </w:p>
        </w:tc>
        <w:tc>
          <w:tcPr>
            <w:tcW w:w="0" w:type="dxa"/>
            <w:vAlign w:val="bottom"/>
          </w:tcPr>
          <w:p>
            <w:pPr>
              <w:spacing w:after="0"/>
              <w:rPr>
                <w:sz w:val="1"/>
                <w:szCs w:val="1"/>
                <w:color w:val="auto"/>
              </w:rPr>
            </w:pPr>
          </w:p>
        </w:tc>
      </w:tr>
      <w:tr>
        <w:trPr>
          <w:trHeight w:val="224"/>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w:t>
            </w:r>
          </w:p>
        </w:tc>
        <w:tc>
          <w:tcPr>
            <w:tcW w:w="14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85,826</w:t>
            </w:r>
          </w:p>
        </w:tc>
        <w:tc>
          <w:tcPr>
            <w:tcW w:w="0" w:type="dxa"/>
            <w:vAlign w:val="bottom"/>
          </w:tcPr>
          <w:p>
            <w:pPr>
              <w:spacing w:after="0"/>
              <w:rPr>
                <w:sz w:val="1"/>
                <w:szCs w:val="1"/>
                <w:color w:val="auto"/>
              </w:rPr>
            </w:pPr>
          </w:p>
        </w:tc>
      </w:tr>
      <w:tr>
        <w:trPr>
          <w:trHeight w:val="242"/>
        </w:trPr>
        <w:tc>
          <w:tcPr>
            <w:tcW w:w="6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property, plant and equipment, net</w:t>
            </w: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997,875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hanging="315"/>
        <w:spacing w:after="0" w:line="325" w:lineRule="auto"/>
        <w:tabs>
          <w:tab w:leader="none" w:pos="3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Included in gathering systems are $13.1 million and $27.5 million of assets at December 31, 2021 and December 31, 2020, respectively, that are not subject to depreciation, amortization and accretion as the systems were under construction and had not yet been put into service.</w:t>
      </w:r>
    </w:p>
    <w:p>
      <w:pPr>
        <w:spacing w:after="0" w:line="160"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Drop Down assets acquired from Diamondback in the fourth quarter of 2021 included $91.5 million of produced water disposal system assets, $54.5 million of sourced water gathering systems, $12.2 million of land, and an insignificant amount of sourced water inventory.</w:t>
      </w:r>
    </w:p>
    <w:p>
      <w:pPr>
        <w:spacing w:after="0" w:line="160" w:lineRule="exact"/>
        <w:rPr>
          <w:sz w:val="20"/>
          <w:szCs w:val="20"/>
          <w:color w:val="auto"/>
        </w:rPr>
      </w:pPr>
    </w:p>
    <w:p>
      <w:pPr>
        <w:jc w:val="both"/>
        <w:ind w:firstLine="632"/>
        <w:spacing w:after="0" w:line="262" w:lineRule="auto"/>
        <w:rPr>
          <w:rFonts w:ascii="Arial" w:cs="Arial" w:eastAsia="Arial" w:hAnsi="Arial"/>
          <w:sz w:val="18"/>
          <w:szCs w:val="18"/>
          <w:color w:val="auto"/>
        </w:rPr>
      </w:pPr>
      <w:r>
        <w:rPr>
          <w:rFonts w:ascii="Arial" w:cs="Arial" w:eastAsia="Arial" w:hAnsi="Arial"/>
          <w:sz w:val="18"/>
          <w:szCs w:val="18"/>
          <w:color w:val="auto"/>
        </w:rPr>
        <w:t>The Partnership sold substantially all of its natural gas gathering assets during the fourth quarter of 2021. See Note 4—</w:t>
      </w:r>
      <w:hyperlink w:anchor="page83">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 xml:space="preserve"> for discussion regarding the sale of these assets.</w:t>
      </w:r>
    </w:p>
    <w:p>
      <w:pPr>
        <w:spacing w:after="0" w:line="20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Depreciation expense related to property, plant and equipment was $43.6 million, $43.8 million and $33.2 million for the years ended December 31, 2021, 2020 and 2019, respectively. Depreciation expense in 2021 included a write-off of $3.4 million related to in-service projects that were abandoned during the year.</w:t>
      </w:r>
    </w:p>
    <w:p>
      <w:pPr>
        <w:spacing w:after="0" w:line="21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Capitalized internal costs and capitalized interest related to property, plant and equipment were immaterial for the years ended December 31, 2021, 2020 and 2019.</w:t>
      </w:r>
    </w:p>
    <w:p>
      <w:pPr>
        <w:spacing w:after="0" w:line="207"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Partnership evaluates its long-lived assets for potential impairment whenever events or circumstances indicate it is more likely than not that the carrying amount of the asset, or set of assets, is greater than the fair value. An impairment involves comparing the estimated future undiscounted cash flows of an asset with the carrying amount. If the carrying amount of the asset exceeds the estimated future undiscounted cash flows, then an impairment charge is recorded for the difference between the estimated fair value of the asset and its carrying value. The Partnership had $3.4 million in impairment losses for costs incurred on projects which had not yet begun construction during the year ended December 31, 2021 and similar immaterial impairments during the year ended December 31, 2020, which were recorded in impairments and abandonments on the consolidated statement of operations. The Partnership had no impairment loss for the year ended 2019. It is possible that circumstances requiring additional impairment testing will occur in future interim periods, which could result in potentially material impairment charges being recorded.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INVESTMENTS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carrying values of the Partnership’s equity method investments as of the dates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Pr>
          <w:p>
            <w:pPr>
              <w:spacing w:after="0"/>
              <w:rPr>
                <w:sz w:val="18"/>
                <w:szCs w:val="18"/>
                <w:color w:val="auto"/>
              </w:rPr>
            </w:pPr>
          </w:p>
        </w:tc>
        <w:tc>
          <w:tcPr>
            <w:tcW w:w="2060" w:type="dxa"/>
            <w:vAlign w:val="bottom"/>
            <w:gridSpan w:val="2"/>
          </w:tcPr>
          <w:p>
            <w:pPr>
              <w:ind w:left="320"/>
              <w:spacing w:after="0"/>
              <w:rPr>
                <w:sz w:val="20"/>
                <w:szCs w:val="20"/>
                <w:color w:val="auto"/>
              </w:rPr>
            </w:pPr>
            <w:r>
              <w:rPr>
                <w:rFonts w:ascii="Arial" w:cs="Arial" w:eastAsia="Arial" w:hAnsi="Arial"/>
                <w:sz w:val="16"/>
                <w:szCs w:val="16"/>
                <w:b w:val="1"/>
                <w:bCs w:val="1"/>
                <w:color w:val="auto"/>
              </w:rPr>
              <w:t>Ownership Interest</w:t>
            </w: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8"/>
                <w:szCs w:val="18"/>
                <w:color w:val="auto"/>
              </w:rPr>
            </w:pPr>
          </w:p>
        </w:tc>
        <w:tc>
          <w:tcPr>
            <w:tcW w:w="1820" w:type="dxa"/>
            <w:vAlign w:val="bottom"/>
          </w:tcPr>
          <w:p>
            <w:pPr>
              <w:jc w:val="right"/>
              <w:ind w:right="313"/>
              <w:spacing w:after="0"/>
              <w:rPr>
                <w:sz w:val="20"/>
                <w:szCs w:val="20"/>
                <w:color w:val="auto"/>
              </w:rPr>
            </w:pPr>
            <w:r>
              <w:rPr>
                <w:rFonts w:ascii="Arial" w:cs="Arial" w:eastAsia="Arial" w:hAnsi="Arial"/>
                <w:sz w:val="16"/>
                <w:szCs w:val="16"/>
                <w:b w:val="1"/>
                <w:bCs w:val="1"/>
                <w:color w:val="auto"/>
                <w:w w:val="97"/>
              </w:rPr>
              <w:t>December 31, 2020</w:t>
            </w:r>
          </w:p>
        </w:tc>
      </w:tr>
      <w:tr>
        <w:trPr>
          <w:trHeight w:val="204"/>
        </w:trPr>
        <w:tc>
          <w:tcPr>
            <w:tcW w:w="49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gridSpan w:val="4"/>
          </w:tcPr>
          <w:p>
            <w:pPr>
              <w:jc w:val="right"/>
              <w:ind w:right="1533"/>
              <w:spacing w:after="0"/>
              <w:rPr>
                <w:sz w:val="20"/>
                <w:szCs w:val="20"/>
                <w:color w:val="auto"/>
              </w:rPr>
            </w:pPr>
            <w:r>
              <w:rPr>
                <w:rFonts w:ascii="Arial" w:cs="Arial" w:eastAsia="Arial" w:hAnsi="Arial"/>
                <w:sz w:val="16"/>
                <w:szCs w:val="16"/>
                <w:b w:val="1"/>
                <w:bCs w:val="1"/>
                <w:color w:val="auto"/>
              </w:rPr>
              <w:t>(In thousands)</w:t>
            </w:r>
          </w:p>
        </w:tc>
      </w:tr>
      <w:tr>
        <w:trPr>
          <w:trHeight w:val="227"/>
        </w:trPr>
        <w:tc>
          <w:tcPr>
            <w:tcW w:w="4960" w:type="dxa"/>
            <w:vAlign w:val="bottom"/>
            <w:shd w:val="clear" w:color="auto" w:fill="CCEEFF"/>
          </w:tcPr>
          <w:p>
            <w:pPr>
              <w:ind w:left="20"/>
              <w:spacing w:after="0" w:line="227" w:lineRule="exact"/>
              <w:rPr>
                <w:sz w:val="20"/>
                <w:szCs w:val="20"/>
                <w:color w:val="auto"/>
              </w:rPr>
            </w:pPr>
            <w:r>
              <w:rPr>
                <w:rFonts w:ascii="Arial" w:cs="Arial" w:eastAsia="Arial" w:hAnsi="Arial"/>
                <w:sz w:val="18"/>
                <w:szCs w:val="18"/>
                <w:color w:val="auto"/>
              </w:rPr>
              <w:t>EPIC Crude Holdings, LP</w:t>
            </w:r>
            <w:r>
              <w:rPr>
                <w:rFonts w:ascii="Arial" w:cs="Arial" w:eastAsia="Arial" w:hAnsi="Arial"/>
                <w:sz w:val="22"/>
                <w:szCs w:val="22"/>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120,863</w:t>
            </w:r>
          </w:p>
        </w:tc>
      </w:tr>
      <w:tr>
        <w:trPr>
          <w:trHeight w:val="224"/>
        </w:trPr>
        <w:tc>
          <w:tcPr>
            <w:tcW w:w="4960" w:type="dxa"/>
            <w:vAlign w:val="bottom"/>
          </w:tcPr>
          <w:p>
            <w:pPr>
              <w:ind w:left="20"/>
              <w:spacing w:after="0" w:line="224" w:lineRule="exact"/>
              <w:rPr>
                <w:sz w:val="20"/>
                <w:szCs w:val="20"/>
                <w:color w:val="auto"/>
              </w:rPr>
            </w:pPr>
            <w:r>
              <w:rPr>
                <w:rFonts w:ascii="Arial" w:cs="Arial" w:eastAsia="Arial" w:hAnsi="Arial"/>
                <w:sz w:val="18"/>
                <w:szCs w:val="18"/>
                <w:color w:val="auto"/>
              </w:rPr>
              <w:t>Gray Oak Pipeline, LLC</w:t>
            </w:r>
            <w:r>
              <w:rPr>
                <w:rFonts w:ascii="Arial" w:cs="Arial" w:eastAsia="Arial" w:hAnsi="Arial"/>
                <w:sz w:val="22"/>
                <w:szCs w:val="22"/>
                <w:color w:val="auto"/>
                <w:vertAlign w:val="superscript"/>
              </w:rPr>
              <w:t>(2)</w:t>
            </w:r>
          </w:p>
        </w:tc>
        <w:tc>
          <w:tcPr>
            <w:tcW w:w="19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121,105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130,353</w:t>
            </w:r>
          </w:p>
        </w:tc>
      </w:tr>
      <w:tr>
        <w:trPr>
          <w:trHeight w:val="224"/>
        </w:trPr>
        <w:tc>
          <w:tcPr>
            <w:tcW w:w="4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Wink to Webster Pipeline LLC</w:t>
            </w:r>
            <w:r>
              <w:rPr>
                <w:rFonts w:ascii="Arial" w:cs="Arial" w:eastAsia="Arial" w:hAnsi="Arial"/>
                <w:sz w:val="22"/>
                <w:szCs w:val="22"/>
                <w:color w:val="auto"/>
                <w:vertAlign w:val="superscript"/>
              </w:rPr>
              <w:t>(3)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82,631</w:t>
            </w:r>
          </w:p>
        </w:tc>
      </w:tr>
      <w:tr>
        <w:trPr>
          <w:trHeight w:val="224"/>
        </w:trPr>
        <w:tc>
          <w:tcPr>
            <w:tcW w:w="4960" w:type="dxa"/>
            <w:vAlign w:val="bottom"/>
          </w:tcPr>
          <w:p>
            <w:pPr>
              <w:ind w:left="20"/>
              <w:spacing w:after="0" w:line="224" w:lineRule="exact"/>
              <w:rPr>
                <w:sz w:val="20"/>
                <w:szCs w:val="20"/>
                <w:color w:val="auto"/>
              </w:rPr>
            </w:pPr>
            <w:r>
              <w:rPr>
                <w:rFonts w:ascii="Arial" w:cs="Arial" w:eastAsia="Arial" w:hAnsi="Arial"/>
                <w:sz w:val="18"/>
                <w:szCs w:val="18"/>
                <w:color w:val="auto"/>
              </w:rPr>
              <w:t>OMOG JV LLC</w:t>
            </w:r>
            <w:r>
              <w:rPr>
                <w:rFonts w:ascii="Arial" w:cs="Arial" w:eastAsia="Arial" w:hAnsi="Arial"/>
                <w:sz w:val="22"/>
                <w:szCs w:val="22"/>
                <w:color w:val="auto"/>
                <w:vertAlign w:val="superscript"/>
              </w:rPr>
              <w:t>(4)</w:t>
            </w:r>
          </w:p>
        </w:tc>
        <w:tc>
          <w:tcPr>
            <w:tcW w:w="19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187,809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193,726</w:t>
            </w:r>
          </w:p>
        </w:tc>
      </w:tr>
      <w:tr>
        <w:trPr>
          <w:trHeight w:val="224"/>
        </w:trPr>
        <w:tc>
          <w:tcPr>
            <w:tcW w:w="4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Amarillo Rattler, LLC </w:t>
            </w:r>
            <w:r>
              <w:rPr>
                <w:rFonts w:ascii="Arial" w:cs="Arial" w:eastAsia="Arial" w:hAnsi="Arial"/>
                <w:sz w:val="22"/>
                <w:szCs w:val="22"/>
                <w:color w:val="auto"/>
                <w:vertAlign w:val="superscript"/>
              </w:rPr>
              <w:t>(5)</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r>
      <w:tr>
        <w:trPr>
          <w:trHeight w:val="224"/>
        </w:trPr>
        <w:tc>
          <w:tcPr>
            <w:tcW w:w="4960" w:type="dxa"/>
            <w:vAlign w:val="bottom"/>
          </w:tcPr>
          <w:p>
            <w:pPr>
              <w:ind w:left="20"/>
              <w:spacing w:after="0" w:line="224" w:lineRule="exact"/>
              <w:rPr>
                <w:sz w:val="20"/>
                <w:szCs w:val="20"/>
                <w:color w:val="auto"/>
              </w:rPr>
            </w:pPr>
            <w:r>
              <w:rPr>
                <w:rFonts w:ascii="Arial" w:cs="Arial" w:eastAsia="Arial" w:hAnsi="Arial"/>
                <w:sz w:val="18"/>
                <w:szCs w:val="18"/>
                <w:color w:val="auto"/>
              </w:rPr>
              <w:t>Remuda Midstream Holdings LLC</w:t>
            </w:r>
            <w:r>
              <w:rPr>
                <w:rFonts w:ascii="Arial" w:cs="Arial" w:eastAsia="Arial" w:hAnsi="Arial"/>
                <w:sz w:val="22"/>
                <w:szCs w:val="22"/>
                <w:color w:val="auto"/>
                <w:vertAlign w:val="superscript"/>
              </w:rPr>
              <w:t>(6)</w:t>
            </w:r>
          </w:p>
        </w:tc>
        <w:tc>
          <w:tcPr>
            <w:tcW w:w="19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BANGL, LLC</w:t>
            </w:r>
            <w:r>
              <w:rPr>
                <w:rFonts w:ascii="Arial" w:cs="Arial" w:eastAsia="Arial" w:hAnsi="Arial"/>
                <w:sz w:val="22"/>
                <w:szCs w:val="22"/>
                <w:color w:val="auto"/>
                <w:vertAlign w:val="superscript"/>
              </w:rPr>
              <w:t>(7)</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960" w:type="dxa"/>
            <w:vAlign w:val="bottom"/>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612,541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532,927</w:t>
            </w:r>
          </w:p>
        </w:tc>
      </w:tr>
      <w:tr>
        <w:trPr>
          <w:trHeight w:val="20"/>
        </w:trPr>
        <w:tc>
          <w:tcPr>
            <w:tcW w:w="4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5"/>
        <w:spacing w:after="0" w:line="251"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EPIC Crude Holdings, LP (“EPIC”) owns and operates a pipeline (the “EPIC pipeline”) that transports crude oil and NGLs across Texas for delivery into the Corpus Christi market. The EPIC pipeline became fully operational in April 2020.</w:t>
      </w:r>
    </w:p>
    <w:p>
      <w:pPr>
        <w:ind w:left="320" w:hanging="315"/>
        <w:spacing w:after="0" w:line="24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Gray Oak Pipeline, LLC (“Gray Oak”) owns and operates a pipeline (the “Gray Oak pipeline”) that transports crude oil from the Permian to Corpus Christi on the Texas Gulf Coast. The Gray Oak pipeline became fully operational in April 2020.</w:t>
      </w:r>
    </w:p>
    <w:p>
      <w:pPr>
        <w:jc w:val="both"/>
        <w:ind w:left="320" w:hanging="315"/>
        <w:spacing w:after="0" w:line="24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Wink to Webster joint venture is developing a crude oil pipeline (the “Wink to Webster pipeline”). The Wink to Webster pipeline’s main segment began interim service operation in the fourth quarter of 2020, and the joint venture is expected to begin full commercial operations in the first quarter of 2022.</w:t>
      </w:r>
    </w:p>
    <w:p>
      <w:pPr>
        <w:spacing w:after="0" w:line="1" w:lineRule="exact"/>
        <w:rPr>
          <w:rFonts w:ascii="Arial" w:cs="Arial" w:eastAsia="Arial" w:hAnsi="Arial"/>
          <w:sz w:val="18"/>
          <w:szCs w:val="18"/>
          <w:color w:val="auto"/>
        </w:rPr>
      </w:pPr>
    </w:p>
    <w:p>
      <w:pPr>
        <w:ind w:left="320" w:hanging="315"/>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OMOG JV LLC (“OMOG”) owns and operates a crude oil gathering system in the Permian Basin.</w:t>
      </w:r>
    </w:p>
    <w:p>
      <w:pPr>
        <w:spacing w:after="0" w:line="3" w:lineRule="exact"/>
        <w:rPr>
          <w:rFonts w:ascii="Arial" w:cs="Arial" w:eastAsia="Arial" w:hAnsi="Arial"/>
          <w:sz w:val="18"/>
          <w:szCs w:val="18"/>
          <w:color w:val="auto"/>
        </w:rPr>
      </w:pPr>
    </w:p>
    <w:p>
      <w:pPr>
        <w:ind w:left="320" w:hanging="315"/>
        <w:spacing w:after="0" w:line="24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interest in Amarillo Rattler was 50% at December 31, 2020. 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regarding the sale of this equity method investment during the second quarter of 2021.</w:t>
      </w:r>
    </w:p>
    <w:p>
      <w:pPr>
        <w:jc w:val="both"/>
        <w:ind w:left="320" w:hanging="315"/>
        <w:spacing w:after="0" w:line="24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Remuda Midstream Holdings LLC (“WTG joint venture”) owns a majority interest in WTG Midstream. WTG Midstream owns and operates a gas gathering system and six major gas processing plants servicing the Midland Basin. See Note 4—</w:t>
      </w:r>
      <w:hyperlink w:anchor="page83">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regarding the acquisition of this equity method investment.</w:t>
      </w:r>
    </w:p>
    <w:p>
      <w:pPr>
        <w:spacing w:after="0" w:line="1" w:lineRule="exact"/>
        <w:rPr>
          <w:rFonts w:ascii="Arial" w:cs="Arial" w:eastAsia="Arial" w:hAnsi="Arial"/>
          <w:sz w:val="18"/>
          <w:szCs w:val="18"/>
          <w:color w:val="auto"/>
        </w:rPr>
      </w:pPr>
    </w:p>
    <w:p>
      <w:pPr>
        <w:ind w:left="320" w:hanging="315"/>
        <w:spacing w:after="0" w:line="248"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$0.1 million of direct transaction costs incurred in the fourth quarter of 2021 for the acquisition of the BANGL Joint Venture in the first quarter of 2022, as defined and discussed further in Note 16—</w:t>
      </w:r>
      <w:hyperlink w:anchor="page98">
        <w:r>
          <w:rPr>
            <w:rFonts w:ascii="Arial" w:cs="Arial" w:eastAsia="Arial" w:hAnsi="Arial"/>
            <w:sz w:val="18"/>
            <w:szCs w:val="18"/>
            <w:u w:val="single" w:color="auto"/>
            <w:color w:val="0000FF"/>
          </w:rPr>
          <w:t>Subsequent Events</w:t>
        </w:r>
      </w:hyperlink>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632"/>
        <w:spacing w:after="0" w:line="253" w:lineRule="auto"/>
        <w:rPr>
          <w:sz w:val="20"/>
          <w:szCs w:val="20"/>
          <w:color w:val="auto"/>
        </w:rPr>
      </w:pPr>
      <w:r>
        <w:rPr>
          <w:rFonts w:ascii="Arial" w:cs="Arial" w:eastAsia="Arial" w:hAnsi="Arial"/>
          <w:sz w:val="18"/>
          <w:szCs w:val="18"/>
          <w:color w:val="auto"/>
        </w:rPr>
        <w:t>Currently, the Partnership receives distributions from Gray Oak and OMOG, which are classified either within the operating or investing sections of the consolidated statements of cash flows by determining the nature of each distribution. The following table presents total distributions received from the Partnership’s equity method investments for the periods indicated:</w:t>
      </w:r>
    </w:p>
    <w:p>
      <w:pPr>
        <w:spacing w:after="0" w:line="25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Year Ended December 31,</w:t>
            </w:r>
          </w:p>
        </w:tc>
        <w:tc>
          <w:tcPr>
            <w:tcW w:w="1240" w:type="dxa"/>
            <w:vAlign w:val="bottom"/>
            <w:tcBorders>
              <w:bottom w:val="single" w:sz="8" w:color="auto"/>
            </w:tcBorders>
          </w:tcPr>
          <w:p>
            <w:pPr>
              <w:spacing w:after="0"/>
              <w:rPr>
                <w:sz w:val="18"/>
                <w:szCs w:val="18"/>
                <w:color w:val="auto"/>
              </w:rPr>
            </w:pPr>
          </w:p>
        </w:tc>
      </w:tr>
      <w:tr>
        <w:trPr>
          <w:trHeight w:val="204"/>
        </w:trPr>
        <w:tc>
          <w:tcPr>
            <w:tcW w:w="360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4"/>
              <w:spacing w:after="0"/>
              <w:rPr>
                <w:sz w:val="20"/>
                <w:szCs w:val="20"/>
                <w:color w:val="auto"/>
              </w:rPr>
            </w:pPr>
            <w:r>
              <w:rPr>
                <w:rFonts w:ascii="Arial" w:cs="Arial" w:eastAsia="Arial" w:hAnsi="Arial"/>
                <w:sz w:val="16"/>
                <w:szCs w:val="16"/>
                <w:b w:val="1"/>
                <w:bCs w:val="1"/>
                <w:color w:val="auto"/>
                <w:w w:val="95"/>
              </w:rPr>
              <w:t>2020</w:t>
            </w:r>
          </w:p>
        </w:tc>
      </w:tr>
      <w:tr>
        <w:trPr>
          <w:trHeight w:val="207"/>
        </w:trPr>
        <w:tc>
          <w:tcPr>
            <w:tcW w:w="36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312"/>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shd w:val="clear" w:color="auto" w:fill="CCEEFF"/>
          </w:tcPr>
          <w:p>
            <w:pPr>
              <w:spacing w:after="0"/>
              <w:rPr>
                <w:sz w:val="17"/>
                <w:szCs w:val="17"/>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4600" w:type="dxa"/>
            <w:vAlign w:val="bottom"/>
            <w:gridSpan w:val="2"/>
          </w:tcPr>
          <w:p>
            <w:pPr>
              <w:jc w:val="right"/>
              <w:ind w:right="106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25,435</w:t>
            </w:r>
          </w:p>
        </w:tc>
        <w:tc>
          <w:tcPr>
            <w:tcW w:w="100" w:type="dxa"/>
            <w:vAlign w:val="bottom"/>
          </w:tcPr>
          <w:p>
            <w:pPr>
              <w:spacing w:after="0"/>
              <w:rPr>
                <w:sz w:val="19"/>
                <w:szCs w:val="19"/>
                <w:color w:val="auto"/>
              </w:rPr>
            </w:pP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23,298</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OMOG JV LLC</w:t>
            </w:r>
          </w:p>
        </w:tc>
        <w:tc>
          <w:tcPr>
            <w:tcW w:w="33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16,469</w:t>
            </w:r>
          </w:p>
        </w:tc>
      </w:tr>
      <w:tr>
        <w:trPr>
          <w:trHeight w:val="217"/>
        </w:trPr>
        <w:tc>
          <w:tcPr>
            <w:tcW w:w="3600" w:type="dxa"/>
            <w:vAlign w:val="bottom"/>
          </w:tcPr>
          <w:p>
            <w:pPr>
              <w:ind w:left="220"/>
              <w:spacing w:after="0"/>
              <w:rPr>
                <w:sz w:val="20"/>
                <w:szCs w:val="20"/>
                <w:color w:val="auto"/>
              </w:rPr>
            </w:pPr>
            <w:r>
              <w:rPr>
                <w:rFonts w:ascii="Arial" w:cs="Arial" w:eastAsia="Arial" w:hAnsi="Arial"/>
                <w:sz w:val="18"/>
                <w:szCs w:val="18"/>
                <w:color w:val="auto"/>
              </w:rPr>
              <w:t>Total</w:t>
            </w:r>
          </w:p>
        </w:tc>
        <w:tc>
          <w:tcPr>
            <w:tcW w:w="4600" w:type="dxa"/>
            <w:vAlign w:val="bottom"/>
            <w:gridSpan w:val="2"/>
          </w:tcPr>
          <w:p>
            <w:pPr>
              <w:jc w:val="right"/>
              <w:ind w:right="106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43,846</w:t>
            </w:r>
          </w:p>
        </w:tc>
        <w:tc>
          <w:tcPr>
            <w:tcW w:w="100" w:type="dxa"/>
            <w:vAlign w:val="bottom"/>
          </w:tcPr>
          <w:p>
            <w:pPr>
              <w:spacing w:after="0"/>
              <w:rPr>
                <w:sz w:val="18"/>
                <w:szCs w:val="18"/>
                <w:color w:val="auto"/>
              </w:rPr>
            </w:pP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39,767</w:t>
            </w:r>
          </w:p>
        </w:tc>
      </w:tr>
      <w:tr>
        <w:trPr>
          <w:trHeight w:val="20"/>
        </w:trPr>
        <w:tc>
          <w:tcPr>
            <w:tcW w:w="3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901"/>
        </w:trPr>
        <w:tc>
          <w:tcPr>
            <w:tcW w:w="3600" w:type="dxa"/>
            <w:vAlign w:val="bottom"/>
          </w:tcPr>
          <w:p>
            <w:pPr>
              <w:spacing w:after="0"/>
              <w:rPr>
                <w:sz w:val="24"/>
                <w:szCs w:val="24"/>
                <w:color w:val="auto"/>
              </w:rPr>
            </w:pPr>
          </w:p>
        </w:tc>
        <w:tc>
          <w:tcPr>
            <w:tcW w:w="4600" w:type="dxa"/>
            <w:vAlign w:val="bottom"/>
            <w:gridSpan w:val="2"/>
          </w:tcPr>
          <w:p>
            <w:pPr>
              <w:jc w:val="right"/>
              <w:ind w:right="2341"/>
              <w:spacing w:after="0"/>
              <w:rPr>
                <w:sz w:val="20"/>
                <w:szCs w:val="20"/>
                <w:color w:val="auto"/>
              </w:rPr>
            </w:pPr>
            <w:r>
              <w:rPr>
                <w:rFonts w:ascii="Arial" w:cs="Arial" w:eastAsia="Arial" w:hAnsi="Arial"/>
                <w:sz w:val="18"/>
                <w:szCs w:val="18"/>
                <w:color w:val="auto"/>
              </w:rPr>
              <w:t>F-19</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2"/>
        </w:trPr>
        <w:tc>
          <w:tcPr>
            <w:tcW w:w="36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summarizes the income (loss) of equity method investees reflected in the Consolidated Statement of Operations for the periods indicated: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Year Ended December 31,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20"/>
        </w:trPr>
        <w:tc>
          <w:tcPr>
            <w:tcW w:w="54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2019</w:t>
            </w:r>
          </w:p>
        </w:tc>
      </w:tr>
      <w:tr>
        <w:trPr>
          <w:trHeight w:val="201"/>
        </w:trPr>
        <w:tc>
          <w:tcPr>
            <w:tcW w:w="5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r>
      <w:tr>
        <w:trPr>
          <w:trHeight w:val="224"/>
        </w:trPr>
        <w:tc>
          <w:tcPr>
            <w:tcW w:w="546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4"/>
        </w:trPr>
        <w:tc>
          <w:tcPr>
            <w:tcW w:w="546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460" w:type="dxa"/>
            <w:vAlign w:val="bottom"/>
          </w:tcPr>
          <w:p>
            <w:pPr>
              <w:ind w:left="20"/>
              <w:spacing w:after="0"/>
              <w:rPr>
                <w:sz w:val="20"/>
                <w:szCs w:val="20"/>
                <w:color w:val="auto"/>
              </w:rPr>
            </w:pPr>
            <w:r>
              <w:rPr>
                <w:rFonts w:ascii="Arial" w:cs="Arial" w:eastAsia="Arial" w:hAnsi="Arial"/>
                <w:sz w:val="18"/>
                <w:szCs w:val="18"/>
                <w:color w:val="auto"/>
              </w:rPr>
              <w:t>Remuda Midstream Holdings LLC</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5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Summarized Financial Information</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set forth summarized financial information of the Partnership’s equity method investments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254"/>
              <w:spacing w:after="0"/>
              <w:rPr>
                <w:sz w:val="20"/>
                <w:szCs w:val="20"/>
                <w:color w:val="auto"/>
              </w:rPr>
            </w:pPr>
            <w:r>
              <w:rPr>
                <w:rFonts w:ascii="Arial" w:cs="Arial" w:eastAsia="Arial" w:hAnsi="Arial"/>
                <w:sz w:val="16"/>
                <w:szCs w:val="16"/>
                <w:b w:val="1"/>
                <w:bCs w:val="1"/>
                <w:color w:val="auto"/>
                <w:w w:val="87"/>
              </w:rPr>
              <w:t>As of December 31,</w:t>
            </w:r>
          </w:p>
        </w:tc>
      </w:tr>
      <w:tr>
        <w:trPr>
          <w:trHeight w:val="201"/>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40" w:type="dxa"/>
            <w:vAlign w:val="bottom"/>
          </w:tcPr>
          <w:p>
            <w:pPr>
              <w:spacing w:after="0"/>
              <w:rPr>
                <w:sz w:val="18"/>
                <w:szCs w:val="18"/>
                <w:color w:val="auto"/>
              </w:rPr>
            </w:pPr>
          </w:p>
        </w:tc>
        <w:tc>
          <w:tcPr>
            <w:tcW w:w="1720" w:type="dxa"/>
            <w:vAlign w:val="bottom"/>
            <w:gridSpan w:val="3"/>
          </w:tcPr>
          <w:p>
            <w:pPr>
              <w:jc w:val="center"/>
              <w:ind w:left="535"/>
              <w:spacing w:after="0"/>
              <w:rPr>
                <w:sz w:val="20"/>
                <w:szCs w:val="20"/>
                <w:color w:val="auto"/>
              </w:rPr>
            </w:pPr>
            <w:r>
              <w:rPr>
                <w:rFonts w:ascii="Arial" w:cs="Arial" w:eastAsia="Arial" w:hAnsi="Arial"/>
                <w:sz w:val="16"/>
                <w:szCs w:val="16"/>
                <w:b w:val="1"/>
                <w:bCs w:val="1"/>
                <w:color w:val="auto"/>
                <w:w w:val="88"/>
              </w:rPr>
              <w:t>(In thousands)</w:t>
            </w:r>
          </w:p>
        </w:tc>
        <w:tc>
          <w:tcPr>
            <w:tcW w:w="960" w:type="dxa"/>
            <w:vAlign w:val="bottom"/>
          </w:tcPr>
          <w:p>
            <w:pPr>
              <w:spacing w:after="0"/>
              <w:rPr>
                <w:sz w:val="18"/>
                <w:szCs w:val="18"/>
                <w:color w:val="auto"/>
              </w:rPr>
            </w:pP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435,903</w:t>
            </w:r>
          </w:p>
        </w:tc>
      </w:tr>
      <w:tr>
        <w:trPr>
          <w:trHeight w:val="224"/>
        </w:trPr>
        <w:tc>
          <w:tcPr>
            <w:tcW w:w="82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7,726,881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7,041,573</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158,861</w:t>
            </w:r>
          </w:p>
        </w:tc>
      </w:tr>
      <w:tr>
        <w:trPr>
          <w:trHeight w:val="217"/>
        </w:trPr>
        <w:tc>
          <w:tcPr>
            <w:tcW w:w="82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8,639,004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7,636,337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243,884</w:t>
            </w:r>
          </w:p>
        </w:tc>
      </w:tr>
      <w:tr>
        <w:trPr>
          <w:trHeight w:val="224"/>
        </w:trPr>
        <w:tc>
          <w:tcPr>
            <w:tcW w:w="822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2,586,449</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Member's Equity</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5,264,709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4,806,004</w:t>
            </w:r>
          </w:p>
        </w:tc>
      </w:tr>
      <w:tr>
        <w:trPr>
          <w:trHeight w:val="217"/>
        </w:trPr>
        <w:tc>
          <w:tcPr>
            <w:tcW w:w="822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8,639,004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7,636,337</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898"/>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74"/>
              <w:spacing w:after="0"/>
              <w:rPr>
                <w:sz w:val="20"/>
                <w:szCs w:val="20"/>
                <w:color w:val="auto"/>
              </w:rPr>
            </w:pPr>
            <w:r>
              <w:rPr>
                <w:rFonts w:ascii="Arial" w:cs="Arial" w:eastAsia="Arial" w:hAnsi="Arial"/>
                <w:sz w:val="16"/>
                <w:szCs w:val="16"/>
                <w:b w:val="1"/>
                <w:bCs w:val="1"/>
                <w:color w:val="auto"/>
                <w:w w:val="89"/>
              </w:rPr>
              <w:t>Year Ended December 31,</w:t>
            </w:r>
          </w:p>
        </w:tc>
      </w:tr>
      <w:tr>
        <w:trPr>
          <w:trHeight w:val="201"/>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40" w:type="dxa"/>
            <w:vAlign w:val="bottom"/>
          </w:tcPr>
          <w:p>
            <w:pPr>
              <w:spacing w:after="0"/>
              <w:rPr>
                <w:sz w:val="18"/>
                <w:szCs w:val="18"/>
                <w:color w:val="auto"/>
              </w:rPr>
            </w:pPr>
          </w:p>
        </w:tc>
        <w:tc>
          <w:tcPr>
            <w:tcW w:w="1720" w:type="dxa"/>
            <w:vAlign w:val="bottom"/>
            <w:gridSpan w:val="3"/>
          </w:tcPr>
          <w:p>
            <w:pPr>
              <w:jc w:val="center"/>
              <w:ind w:left="535"/>
              <w:spacing w:after="0"/>
              <w:rPr>
                <w:sz w:val="20"/>
                <w:szCs w:val="20"/>
                <w:color w:val="auto"/>
              </w:rPr>
            </w:pPr>
            <w:r>
              <w:rPr>
                <w:rFonts w:ascii="Arial" w:cs="Arial" w:eastAsia="Arial" w:hAnsi="Arial"/>
                <w:sz w:val="16"/>
                <w:szCs w:val="16"/>
                <w:b w:val="1"/>
                <w:bCs w:val="1"/>
                <w:color w:val="auto"/>
                <w:w w:val="88"/>
              </w:rPr>
              <w:t>(In thousands)</w:t>
            </w:r>
          </w:p>
        </w:tc>
        <w:tc>
          <w:tcPr>
            <w:tcW w:w="960" w:type="dxa"/>
            <w:vAlign w:val="bottom"/>
          </w:tcPr>
          <w:p>
            <w:pPr>
              <w:spacing w:after="0"/>
              <w:rPr>
                <w:sz w:val="18"/>
                <w:szCs w:val="18"/>
                <w:color w:val="auto"/>
              </w:rPr>
            </w:pP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444,869</w:t>
            </w:r>
          </w:p>
        </w:tc>
      </w:tr>
      <w:tr>
        <w:trPr>
          <w:trHeight w:val="224"/>
        </w:trPr>
        <w:tc>
          <w:tcPr>
            <w:tcW w:w="82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433,444</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378,209</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w:t>
            </w:r>
          </w:p>
        </w:tc>
      </w:tr>
    </w:tbl>
    <w:p>
      <w:pPr>
        <w:spacing w:after="0" w:line="330"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of December 31, 2021 and 2020, the carrying value of the Partnership’s equity method investments was $612.5 million and $532.9 million, respectively. There was an aggregate difference of $(3.0) million and $(4.0) million between the carrying amounts of these investments and the amounts of underlying equity in net assets of these investments as of December 31, 2021 and 2020, respectively. The Partnership’s basis in these assets includes certain capitalized formation costs and basis differences related to the Partnership's initial investment into each asset above its carrying value.</w:t>
      </w:r>
    </w:p>
    <w:p>
      <w:pPr>
        <w:spacing w:after="0" w:line="18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During the year ended December 31, 2021, the Partnership’s income from equity method investment includes a proportional charge of $3.5 million representing impairment recorded by the investee associated with inventory write-downs and abandoned projects. During the year ended December 31, 2020, the Partnership’s loss from equity method investment includes a proportional charge of $15.8 million representing goodwill impairment recorded by an investee. No other impairments were recorded for the Partnership’s or Predecessor’s equity method investments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The Partnership reviews its equity method investments to determine if a loss in value which is other than a temporary decline has occurred when events indicate the carrying value of the investment may not be recoverable. Based on indicators present at December 31, 2021, the Partnership reviewed its investment in EPIC and determined the carrying value of the investment was less than its estimated fair value due to a reduction in expected future cash flow. However, based on the Partnership’s review of various factors leading to the decline in the fair value of the investment, it was determined the carrying value of the EPIC investment will recover in the near term and therefore an other than temporary impairment in the carrying value of the EPIC equity method investment does not exist at December 31, 2021. However, should the conclusions on certain factors included in the Partnership’s analysis including estimates of EPIC’s future cash flows change, the Partnership may recognize an impairment that could materially impact its consolidated financial statements.</w:t>
      </w:r>
    </w:p>
    <w:p>
      <w:pPr>
        <w:spacing w:after="0" w:line="194"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entities in which the Partnership is invested all serve customers in the oil and natural gas industry, which experienced economic challenges due to the COVID-19 pandemic and other macroeconomic factors during 2020 and early 2021. Although the oil and natural gas industry substantially recovered from these impacts in 2021, it continues to be subject to pricing volatility due to the Delta and Omicron COVID-19 variants. As such, further economic challenges could occur in future interim periods, and could result in circumstances requiring the Partnership to record potentially material impairment charges of its equity method investments.</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DEBT</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w w:val="95"/>
              </w:rPr>
              <w:t>As of December 31,</w:t>
            </w:r>
          </w:p>
        </w:tc>
        <w:tc>
          <w:tcPr>
            <w:tcW w:w="1260" w:type="dxa"/>
            <w:vAlign w:val="bottom"/>
            <w:tcBorders>
              <w:bottom w:val="single" w:sz="8" w:color="auto"/>
            </w:tcBorders>
          </w:tcPr>
          <w:p>
            <w:pPr>
              <w:spacing w:after="0"/>
              <w:rPr>
                <w:sz w:val="18"/>
                <w:szCs w:val="18"/>
                <w:color w:val="auto"/>
              </w:rPr>
            </w:pPr>
          </w:p>
        </w:tc>
      </w:tr>
      <w:tr>
        <w:trPr>
          <w:trHeight w:val="204"/>
        </w:trPr>
        <w:tc>
          <w:tcPr>
            <w:tcW w:w="71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2020</w:t>
            </w:r>
          </w:p>
        </w:tc>
      </w:tr>
      <w:tr>
        <w:trPr>
          <w:trHeight w:val="204"/>
        </w:trPr>
        <w:tc>
          <w:tcPr>
            <w:tcW w:w="7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gridSpan w:val="3"/>
          </w:tcPr>
          <w:p>
            <w:pPr>
              <w:jc w:val="right"/>
              <w:ind w:right="192"/>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Pr>
          <w:p>
            <w:pPr>
              <w:spacing w:after="0"/>
              <w:rPr>
                <w:sz w:val="17"/>
                <w:szCs w:val="17"/>
                <w:color w:val="auto"/>
              </w:rPr>
            </w:pPr>
          </w:p>
        </w:tc>
      </w:tr>
      <w:tr>
        <w:trPr>
          <w:trHeight w:val="227"/>
        </w:trPr>
        <w:tc>
          <w:tcPr>
            <w:tcW w:w="7180" w:type="dxa"/>
            <w:vAlign w:val="bottom"/>
            <w:shd w:val="clear" w:color="auto" w:fill="CCEEFF"/>
          </w:tcPr>
          <w:p>
            <w:pPr>
              <w:ind w:left="20"/>
              <w:spacing w:after="0" w:line="227" w:lineRule="exact"/>
              <w:rPr>
                <w:sz w:val="20"/>
                <w:szCs w:val="20"/>
                <w:color w:val="auto"/>
              </w:rPr>
            </w:pPr>
            <w:r>
              <w:rPr>
                <w:rFonts w:ascii="Arial" w:cs="Arial" w:eastAsia="Arial" w:hAnsi="Arial"/>
                <w:sz w:val="18"/>
                <w:szCs w:val="18"/>
                <w:color w:val="auto"/>
              </w:rPr>
              <w:t>5.625% unsecured Senior Notes due 2025</w:t>
            </w:r>
            <w:r>
              <w:rPr>
                <w:rFonts w:ascii="Arial" w:cs="Arial" w:eastAsia="Arial" w:hAnsi="Arial"/>
                <w:sz w:val="22"/>
                <w:szCs w:val="22"/>
                <w:color w:val="auto"/>
                <w:vertAlign w:val="superscript"/>
              </w:rPr>
              <w:t>(1)</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Operating Company revolving credit facility</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79,000</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w:t>
            </w:r>
          </w:p>
        </w:tc>
      </w:tr>
      <w:tr>
        <w:trPr>
          <w:trHeight w:val="217"/>
        </w:trPr>
        <w:tc>
          <w:tcPr>
            <w:tcW w:w="718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687,956</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569,947</w:t>
            </w:r>
          </w:p>
        </w:tc>
      </w:tr>
      <w:tr>
        <w:trPr>
          <w:trHeight w:val="20"/>
        </w:trPr>
        <w:tc>
          <w:tcPr>
            <w:tcW w:w="7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6"/>
          <w:szCs w:val="16"/>
          <w:i w:val="1"/>
          <w:iCs w:val="1"/>
          <w:color w:val="auto"/>
        </w:rPr>
      </w:pPr>
      <w:r>
        <w:rPr>
          <w:rFonts w:ascii="Arial" w:cs="Arial" w:eastAsia="Arial" w:hAnsi="Arial"/>
          <w:sz w:val="16"/>
          <w:szCs w:val="16"/>
          <w:color w:val="auto"/>
        </w:rPr>
        <w:t>Interest on the Notes is payable on January 15 and July 15 of each year, beginning on January 15, 2021. The Notes mature on July 15, 2025.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4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6"/>
          <w:szCs w:val="16"/>
          <w:color w:val="auto"/>
        </w:rPr>
        <w:t>On May 28, 2019, the Partnership, as parent, and the Operating Company, as borrower, entered into a credit agreement (as amended, the “Credit Agreement”) with Wells Fargo Bank, National Association, as administrative agent, and a syndicate of banks, including Wells Fargo Bank, National Association, as lenders party thereto. The Operating Company’s credit agreement (the “Credit Agreement”) provides for a revolving credit facility in the maximum amount of $600.0 million, which is expandable to $1.0 billion upon the Operating Company’s election, subject to obtaining additional lender commitments and satisfaction of customary conditions. Loan principal may be optionally repaid from time to time without premium or penalty (other than customary breakage), and is required to be paid at the maturity date of May 28, 2024. The loan is guaranteed by the Partnership, Tall Towers, Rattler OMOG LLC, Rattler Ajax Processing LLC, Rattler WTG LLC and the Holding Company and is secured by substantially all of the Partnership’s, the Operating Company’s and the other guarantors’ assets. On October 22, 2021, Rattler WTG LLC became a guarantor and restricted subsidiary under the credit agreement. On December 21, 2021, the Operating Company entered into the third amendment to the Credit Agreement to, among other things, (i) permit the Reorganization, including, without limitation, the formation of the Holding Company and the Contribution and (ii) provide for the addition of the Holding Company as a Guarantor and Restricted Subsidiary (as such terms are defined in the Credit Agreement).</w:t>
      </w:r>
    </w:p>
    <w:p>
      <w:pPr>
        <w:spacing w:after="0" w:line="20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As of December 31, 2021, the Operating Company had $195.0 million of outstanding borrowings and $405.0 million available for future borrowings under the Credit Agreement.</w:t>
      </w:r>
    </w:p>
    <w:p>
      <w:pPr>
        <w:spacing w:after="0" w:line="207"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the Operating Company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commitment, which fee is also dependent on the Consolidated Total Leverage Ratio. The weighted average interest rates on the revolving credit facility were 1.41%, 2.10% and 3.13% for the years ended December 31, 2021, 2020 and 2019, respectively.</w:t>
      </w:r>
    </w:p>
    <w:p>
      <w:pPr>
        <w:spacing w:after="0" w:line="20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Credit Agreement contains various affirmative and negative covenants and also contains financial maintenance covenants that require the maintenance of the financial ratios described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Covenant</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Required Ratio</w:t>
            </w:r>
          </w:p>
        </w:tc>
        <w:tc>
          <w:tcPr>
            <w:tcW w:w="0" w:type="dxa"/>
            <w:vAlign w:val="bottom"/>
          </w:tcPr>
          <w:p>
            <w:pPr>
              <w:spacing w:after="0"/>
              <w:rPr>
                <w:sz w:val="1"/>
                <w:szCs w:val="1"/>
                <w:color w:val="auto"/>
              </w:rPr>
            </w:pPr>
          </w:p>
        </w:tc>
      </w:tr>
      <w:tr>
        <w:trPr>
          <w:trHeight w:val="169"/>
        </w:trPr>
        <w:tc>
          <w:tcPr>
            <w:tcW w:w="63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Consolidated Total Leverage Ratio</w:t>
            </w:r>
          </w:p>
        </w:tc>
        <w:tc>
          <w:tcPr>
            <w:tcW w:w="48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Not greater than 5.00 to 1.00 (or not greater than 5.50 to 1.00 for 3</w:t>
            </w: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spacing w:after="0"/>
              <w:rPr>
                <w:sz w:val="14"/>
                <w:szCs w:val="14"/>
                <w:color w:val="auto"/>
              </w:rPr>
            </w:pPr>
          </w:p>
        </w:tc>
        <w:tc>
          <w:tcPr>
            <w:tcW w:w="4860" w:type="dxa"/>
            <w:vAlign w:val="bottom"/>
            <w:shd w:val="clear" w:color="auto" w:fill="CCEEFF"/>
          </w:tcPr>
          <w:p>
            <w:pPr>
              <w:jc w:val="center"/>
              <w:spacing w:after="0" w:line="171" w:lineRule="exact"/>
              <w:rPr>
                <w:sz w:val="20"/>
                <w:szCs w:val="20"/>
                <w:color w:val="auto"/>
              </w:rPr>
            </w:pPr>
            <w:r>
              <w:rPr>
                <w:rFonts w:ascii="Arial" w:cs="Arial" w:eastAsia="Arial" w:hAnsi="Arial"/>
                <w:sz w:val="18"/>
                <w:szCs w:val="18"/>
                <w:color w:val="auto"/>
                <w:w w:val="90"/>
              </w:rPr>
              <w:t>fiscal quarters following certain acquisitions), but if the Financial</w:t>
            </w: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spacing w:after="0"/>
              <w:rPr>
                <w:sz w:val="14"/>
                <w:szCs w:val="14"/>
                <w:color w:val="auto"/>
              </w:rPr>
            </w:pPr>
          </w:p>
        </w:tc>
        <w:tc>
          <w:tcPr>
            <w:tcW w:w="4860" w:type="dxa"/>
            <w:vAlign w:val="bottom"/>
            <w:shd w:val="clear" w:color="auto" w:fill="CCEEFF"/>
          </w:tcPr>
          <w:p>
            <w:pPr>
              <w:jc w:val="center"/>
              <w:spacing w:after="0" w:line="171" w:lineRule="exact"/>
              <w:rPr>
                <w:sz w:val="20"/>
                <w:szCs w:val="20"/>
                <w:color w:val="auto"/>
              </w:rPr>
            </w:pPr>
            <w:r>
              <w:rPr>
                <w:rFonts w:ascii="Arial" w:cs="Arial" w:eastAsia="Arial" w:hAnsi="Arial"/>
                <w:sz w:val="18"/>
                <w:szCs w:val="18"/>
                <w:color w:val="auto"/>
                <w:w w:val="88"/>
              </w:rPr>
              <w:t>Covenant Election (as defined in the Credit Agreement) is made,</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4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then not greater than 5.25 to 1.00)</w:t>
            </w:r>
          </w:p>
        </w:tc>
        <w:tc>
          <w:tcPr>
            <w:tcW w:w="0" w:type="dxa"/>
            <w:vAlign w:val="bottom"/>
          </w:tcPr>
          <w:p>
            <w:pPr>
              <w:spacing w:after="0"/>
              <w:rPr>
                <w:sz w:val="1"/>
                <w:szCs w:val="1"/>
                <w:color w:val="auto"/>
              </w:rPr>
            </w:pPr>
          </w:p>
        </w:tc>
      </w:tr>
      <w:tr>
        <w:trPr>
          <w:trHeight w:val="172"/>
        </w:trPr>
        <w:tc>
          <w:tcPr>
            <w:tcW w:w="6360" w:type="dxa"/>
            <w:vAlign w:val="bottom"/>
          </w:tcPr>
          <w:p>
            <w:pPr>
              <w:ind w:left="20"/>
              <w:spacing w:after="0" w:line="172" w:lineRule="exact"/>
              <w:rPr>
                <w:sz w:val="20"/>
                <w:szCs w:val="20"/>
                <w:color w:val="auto"/>
              </w:rPr>
            </w:pPr>
            <w:r>
              <w:rPr>
                <w:rFonts w:ascii="Arial" w:cs="Arial" w:eastAsia="Arial" w:hAnsi="Arial"/>
                <w:sz w:val="18"/>
                <w:szCs w:val="18"/>
                <w:color w:val="auto"/>
                <w:w w:val="89"/>
              </w:rPr>
              <w:t>Consolidated Senior Secured Leverage Ratio commencing with the last day of any fiscal</w:t>
            </w: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ind w:left="20"/>
              <w:spacing w:after="0" w:line="171" w:lineRule="exact"/>
              <w:rPr>
                <w:sz w:val="20"/>
                <w:szCs w:val="20"/>
                <w:color w:val="auto"/>
              </w:rPr>
            </w:pPr>
            <w:r>
              <w:rPr>
                <w:rFonts w:ascii="Arial" w:cs="Arial" w:eastAsia="Arial" w:hAnsi="Arial"/>
                <w:sz w:val="18"/>
                <w:szCs w:val="18"/>
                <w:color w:val="auto"/>
                <w:w w:val="90"/>
              </w:rPr>
              <w:t>quarter in which the Financial Covenant Election (as defined in the Credit Agreement) is</w:t>
            </w: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87"/>
              </w:rPr>
              <w:t>Not greater than 3.50 to 1.00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made</w:t>
            </w:r>
          </w:p>
        </w:tc>
        <w:tc>
          <w:tcPr>
            <w:tcW w:w="4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Interest Coverage Ratio (as defined in the Credit Agreement)</w:t>
            </w:r>
          </w:p>
        </w:tc>
        <w:tc>
          <w:tcPr>
            <w:tcW w:w="4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Not less than 2.50 to 1.00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As of December 31, 2021, the Operating Company was in compliance with all financial maintenance covenants under the Credit Agreement. 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Credit Agreement generally may be amended with the consent of the lenders holding a majority of the outstanding loans or commitments to lend.</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UNIT-BASED COMPENSATION</w:t>
      </w:r>
    </w:p>
    <w:p>
      <w:pPr>
        <w:spacing w:after="0" w:line="247"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On May 22, 2019, the board of directors of the General Partner adopted the Rattler Midstream LP Long-Term Incentive Plan (“LTIP”), for employees,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Excluding unvested phantom units, as of December 31, 2021, the Partnership had 12,696,146 common units remaining for issuance under its LTIP of the 15,151,515 common units initially authorized.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19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For the years ended December 31, 2021, 2020 and 2019, respectively, the Partnership incurred $9.8 million, $8.9 million and $5.2 million of unit-based compensation,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41"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Under the LTIP, the board of directors of the General Partner is authorized to issue phantom units to eligible employees and non-employee directors. The Partnership estimates the fair value of phantom units as the closing price of the Partnership’s common units on the grant date of the award, and expenses this value over the applicable vesting period. Upon vesting, the phantom units entitle the recipient to one common unit of the Partnership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phantom unit activity under the LTIP for the year ended December 31,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40" w:type="dxa"/>
            <w:vAlign w:val="bottom"/>
            <w:vMerge w:val="restart"/>
          </w:tcPr>
          <w:p>
            <w:pPr>
              <w:jc w:val="right"/>
              <w:ind w:right="635"/>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ind w:right="175"/>
              <w:spacing w:after="0" w:line="158" w:lineRule="exact"/>
              <w:rPr>
                <w:sz w:val="20"/>
                <w:szCs w:val="20"/>
                <w:color w:val="auto"/>
              </w:rPr>
            </w:pPr>
            <w:r>
              <w:rPr>
                <w:rFonts w:ascii="Arial" w:cs="Arial" w:eastAsia="Arial" w:hAnsi="Arial"/>
                <w:sz w:val="16"/>
                <w:szCs w:val="16"/>
                <w:b w:val="1"/>
                <w:bCs w:val="1"/>
                <w:color w:val="auto"/>
                <w:w w:val="94"/>
              </w:rPr>
              <w:t>Grant-Date</w:t>
            </w:r>
          </w:p>
        </w:tc>
        <w:tc>
          <w:tcPr>
            <w:tcW w:w="0" w:type="dxa"/>
            <w:vAlign w:val="bottom"/>
          </w:tcPr>
          <w:p>
            <w:pPr>
              <w:spacing w:after="0"/>
              <w:rPr>
                <w:sz w:val="1"/>
                <w:szCs w:val="1"/>
                <w:color w:val="auto"/>
              </w:rPr>
            </w:pPr>
          </w:p>
        </w:tc>
      </w:tr>
      <w:tr>
        <w:trPr>
          <w:trHeight w:val="208"/>
        </w:trPr>
        <w:tc>
          <w:tcPr>
            <w:tcW w:w="70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55"/>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2,089,668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4"/>
        </w:trPr>
        <w:tc>
          <w:tcPr>
            <w:tcW w:w="7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259,916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4"/>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4"/>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(40,718)</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1,737,525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aggregate fair value of phantom units that vested during the year ended December 31, 2021 was $9.3 million. As of December 31, 2021, the unrecognized compensation cost related to unvested phantom units was $23.1 million. Such cost is expected to be recognized over a weighted-average period of 2.33 years.</w:t>
      </w:r>
    </w:p>
    <w:p>
      <w:pPr>
        <w:spacing w:after="0" w:line="20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UNITHOLDERS’ EQUITY AND DISTRIBUTIONS</w:t>
      </w:r>
    </w:p>
    <w:p>
      <w:pPr>
        <w:spacing w:after="0" w:line="247"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Partnership has General Partner and limited partner units. At December 31, 2021, the Partnership had a total of 38,356,771 common units issued and outstanding and 107,815,152 Class B units issued and outstanding, of which no common units and 107,815,152 Class B units, representing approximately 74% of the Partnership’s total units outstanding, were beneficially owned by Diamondback.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28"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6"/>
          <w:szCs w:val="16"/>
          <w:color w:val="auto"/>
        </w:rPr>
        <w:t>On October 29, 2020, the board of directors of the General Partner approved a common unit repurchase program to acquire up to $100.0 million of the Partnership’s outstanding common units. The common unit repurchase program was authorized to extend through December 31, 2021, but in October 2021, the board of directors of the General Partner increased the repurchase program authorization to $150.0 million and extended the program indefinitely. The Partnership intends to purchase common units under the repurchase program opportunistically with cash on hand, free cash flow from operations and proceeds from potential liquidity events such as the sale of assets. The repurchase program may be suspended from time to time, modified, extended or discontinued by the board of directors of the General Partner at any time. Purchases under the repurchase program may be made from time to time in open market transactions in compliance with Rule 10b-18 under the Securities Exchange Act of 1934, as amended, or in privately negotiated transactions, and will be subject to market conditions, applicable legal requirements, contractual obligations and other factors. Any common units purchased as part of this program will be retired. During the year ended December 31, 2021, the Partnership repurchased approximately $47.6 million of common units under this repurchase program. As of December 31, 2021, $87.7 million remained available for repurchase under the Partnership’s common unit repurchase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212"/>
              <w:spacing w:after="0"/>
              <w:rPr>
                <w:sz w:val="20"/>
                <w:szCs w:val="20"/>
                <w:color w:val="auto"/>
              </w:rPr>
            </w:pPr>
            <w:r>
              <w:rPr>
                <w:rFonts w:ascii="Arial" w:cs="Arial" w:eastAsia="Arial" w:hAnsi="Arial"/>
                <w:sz w:val="16"/>
                <w:szCs w:val="16"/>
                <w:b w:val="1"/>
                <w:bCs w:val="1"/>
                <w:color w:val="auto"/>
                <w:w w:val="89"/>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4"/>
        </w:trPr>
        <w:tc>
          <w:tcPr>
            <w:tcW w:w="6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36,780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4"/>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65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Change from net income (loss) attributable to the Partnership's unitholders and transfers to</w:t>
            </w:r>
          </w:p>
        </w:tc>
        <w:tc>
          <w:tcPr>
            <w:tcW w:w="940" w:type="dxa"/>
            <w:vAlign w:val="bottom"/>
            <w:vMerge w:val="restart"/>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42,812</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(296,233)</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non-controlling interest</w:t>
            </w:r>
          </w:p>
        </w:tc>
        <w:tc>
          <w:tcPr>
            <w:tcW w:w="9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During the year ended December 31, 2021, the Partnership recorded adjustments to non-controlling interest of $(7.7) million, common unitholder equity of $6.0 million, and deferred tax liability of $1.7 million to reflect the ownership structure that was effective at December 31, 2021. During the year ended December 31, 2020, the Partnership recorded an adjustment to non-controlling interest of $422.1 million, common unitholder equity of $(330.9) million, and deferred tax asset of $91.1 million to reflect the ownership structure that was effective at December 31, 2020. The adjustment had no impact on earnings for the year ended December 31, 2020. There were no changes in the ownership interests in consolidated subsidiaries during the period between the closing of the IPO on May 28, 2019 and December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4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The board of directors of the General Partner sets and administers the cash distribution policies for the Partnership and the Operating Company. Cash distributions paid by the Operating Company to Diamondback and the Partnership as the holders of the Operating Company’s common units are determined by the board of directors of the General Partner on a quarterly basis. The board of directors of the General Partner may change the Partnership’s distribution policy at any time and from time to time. The partnership agreement does not require the Partnership to pay cash distributions on the Partnership’s common units on a quarterly or other basis.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cash distributions approved by the board of directors of the General Partner for the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840"/>
              <w:spacing w:after="0"/>
              <w:rPr>
                <w:sz w:val="20"/>
                <w:szCs w:val="20"/>
                <w:color w:val="auto"/>
              </w:rPr>
            </w:pPr>
            <w:r>
              <w:rPr>
                <w:rFonts w:ascii="Arial" w:cs="Arial" w:eastAsia="Arial" w:hAnsi="Arial"/>
                <w:sz w:val="16"/>
                <w:szCs w:val="16"/>
                <w:b w:val="1"/>
                <w:bCs w:val="1"/>
                <w:color w:val="auto"/>
              </w:rPr>
              <w:t>Distributions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Amount per</w:t>
            </w:r>
          </w:p>
        </w:tc>
        <w:tc>
          <w:tcPr>
            <w:tcW w:w="16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1"/>
              </w:rPr>
              <w:t>Operating Company</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Common</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Period</w:t>
            </w: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Distributions to</w:t>
            </w: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Declaration Date</w:t>
            </w:r>
          </w:p>
        </w:tc>
        <w:tc>
          <w:tcPr>
            <w:tcW w:w="21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Unitholder Record Date</w:t>
            </w:r>
          </w:p>
        </w:tc>
        <w:tc>
          <w:tcPr>
            <w:tcW w:w="202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08"/>
        </w:trPr>
        <w:tc>
          <w:tcPr>
            <w:tcW w:w="1080" w:type="dxa"/>
            <w:vAlign w:val="bottom"/>
            <w:gridSpan w:val="2"/>
            <w:vMerge w:val="continue"/>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Unit</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Diamondback</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Unitholders</w:t>
            </w:r>
          </w:p>
        </w:tc>
        <w:tc>
          <w:tcPr>
            <w:tcW w:w="1840" w:type="dxa"/>
            <w:vAlign w:val="bottom"/>
            <w:gridSpan w:val="2"/>
            <w:vMerge w:val="continue"/>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Q3 2019</w:t>
            </w:r>
          </w:p>
        </w:tc>
        <w:tc>
          <w:tcPr>
            <w:tcW w:w="10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36,657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14,858</w:t>
            </w:r>
          </w:p>
        </w:tc>
        <w:tc>
          <w:tcPr>
            <w:tcW w:w="10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October 31, 2019</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November 15, 2019</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November 22, 2019</w:t>
            </w:r>
          </w:p>
        </w:tc>
        <w:tc>
          <w:tcPr>
            <w:tcW w:w="0" w:type="dxa"/>
            <w:vAlign w:val="bottom"/>
          </w:tcPr>
          <w:p>
            <w:pPr>
              <w:spacing w:after="0"/>
              <w:rPr>
                <w:sz w:val="1"/>
                <w:szCs w:val="1"/>
                <w:color w:val="auto"/>
              </w:rPr>
            </w:pPr>
          </w:p>
        </w:tc>
      </w:tr>
      <w:tr>
        <w:trPr>
          <w:trHeight w:val="224"/>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31,266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13, 2020</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 2020</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10,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Q1 2020</w:t>
            </w:r>
          </w:p>
        </w:tc>
        <w:tc>
          <w:tcPr>
            <w:tcW w:w="10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31,267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April 30, 2020</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May 18,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May 26, 2020</w:t>
            </w:r>
          </w:p>
        </w:tc>
        <w:tc>
          <w:tcPr>
            <w:tcW w:w="0" w:type="dxa"/>
            <w:vAlign w:val="bottom"/>
          </w:tcPr>
          <w:p>
            <w:pPr>
              <w:spacing w:after="0"/>
              <w:rPr>
                <w:sz w:val="1"/>
                <w:szCs w:val="1"/>
                <w:color w:val="auto"/>
              </w:rPr>
            </w:pPr>
          </w:p>
        </w:tc>
      </w:tr>
      <w:tr>
        <w:trPr>
          <w:trHeight w:val="224"/>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31,267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31, 2020</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17, 2020</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24,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Q3 2020</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21,562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October 29, 2020</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November 16, 2020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November 23, 2020</w:t>
            </w:r>
          </w:p>
        </w:tc>
        <w:tc>
          <w:tcPr>
            <w:tcW w:w="0" w:type="dxa"/>
            <w:vAlign w:val="bottom"/>
          </w:tcPr>
          <w:p>
            <w:pPr>
              <w:spacing w:after="0"/>
              <w:rPr>
                <w:sz w:val="1"/>
                <w:szCs w:val="1"/>
                <w:color w:val="auto"/>
              </w:rPr>
            </w:pPr>
          </w:p>
        </w:tc>
      </w:tr>
      <w:tr>
        <w:trPr>
          <w:trHeight w:val="224"/>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21,563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17, 2021</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8, 2021</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Q1 2021</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21,563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8,183</w:t>
            </w:r>
          </w:p>
        </w:tc>
        <w:tc>
          <w:tcPr>
            <w:tcW w:w="10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April 28, 2021</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May 14, 2021</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May 21, 2021</w:t>
            </w:r>
          </w:p>
        </w:tc>
        <w:tc>
          <w:tcPr>
            <w:tcW w:w="0" w:type="dxa"/>
            <w:vAlign w:val="bottom"/>
          </w:tcPr>
          <w:p>
            <w:pPr>
              <w:spacing w:after="0"/>
              <w:rPr>
                <w:sz w:val="1"/>
                <w:szCs w:val="1"/>
                <w:color w:val="auto"/>
              </w:rPr>
            </w:pPr>
          </w:p>
        </w:tc>
      </w:tr>
      <w:tr>
        <w:trPr>
          <w:trHeight w:val="224"/>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26,954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 2021</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16, 2021</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23,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Q3 2021</w:t>
            </w: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27,412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October 27, 2021</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November 15, 2021</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November 22, 2021</w:t>
            </w:r>
          </w:p>
        </w:tc>
        <w:tc>
          <w:tcPr>
            <w:tcW w:w="0" w:type="dxa"/>
            <w:vAlign w:val="bottom"/>
          </w:tcPr>
          <w:p>
            <w:pPr>
              <w:spacing w:after="0"/>
              <w:rPr>
                <w:sz w:val="1"/>
                <w:szCs w:val="1"/>
                <w:color w:val="auto"/>
              </w:rPr>
            </w:pPr>
          </w:p>
        </w:tc>
      </w:tr>
      <w:tr>
        <w:trPr>
          <w:trHeight w:val="90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color w:val="auto"/>
              </w:rPr>
              <w:t>F-24</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EARNINGS PER COMMON UNIT</w:t>
      </w:r>
    </w:p>
    <w:p>
      <w:pPr>
        <w:spacing w:after="0" w:line="247"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Earnings per common unit on the consolidated statements of operations is based on the net income of the Partnership for the years ended December 31, 2021, 2020 and for the period after the closing of the IPO on May 28, 2019 through December 31, 2019, since this is the amount of net income that is attributable to the Partnership’s common units. The Partnership’s net income is allocated wholly to the common units, as the General Partner does not have an economic interest.</w:t>
      </w:r>
    </w:p>
    <w:p>
      <w:pPr>
        <w:spacing w:after="0" w:line="218" w:lineRule="exact"/>
        <w:rPr>
          <w:sz w:val="20"/>
          <w:szCs w:val="20"/>
          <w:color w:val="auto"/>
        </w:rPr>
      </w:pPr>
    </w:p>
    <w:p>
      <w:pPr>
        <w:jc w:val="both"/>
        <w:ind w:right="80" w:firstLine="632"/>
        <w:spacing w:after="0" w:line="287" w:lineRule="auto"/>
        <w:rPr>
          <w:sz w:val="20"/>
          <w:szCs w:val="20"/>
          <w:color w:val="auto"/>
        </w:rPr>
      </w:pPr>
      <w:r>
        <w:rPr>
          <w:rFonts w:ascii="Arial" w:cs="Arial" w:eastAsia="Arial" w:hAnsi="Arial"/>
          <w:sz w:val="16"/>
          <w:szCs w:val="16"/>
          <w:color w:val="auto"/>
        </w:rPr>
        <w:t>Basic and diluted earnings per common unit is calculated using the two-class method. The two class method is an earnings allocation proportional to the respective ownership among holders of common units and participating securities. Basic earnings per common unit is calculated by dividing net income by the weighted-average number of common units outstanding during the period. Diluted earnings per common unit also considers the dilutive effect of unvested common units granted under the LTIP, calculated using the treasury stock method.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0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ind w:right="354"/>
              <w:spacing w:after="0"/>
              <w:rPr>
                <w:sz w:val="20"/>
                <w:szCs w:val="20"/>
                <w:color w:val="auto"/>
              </w:rPr>
            </w:pPr>
            <w:r>
              <w:rPr>
                <w:rFonts w:ascii="Arial" w:cs="Arial" w:eastAsia="Arial" w:hAnsi="Arial"/>
                <w:sz w:val="16"/>
                <w:szCs w:val="16"/>
                <w:b w:val="1"/>
                <w:bCs w:val="1"/>
                <w:color w:val="auto"/>
              </w:rPr>
              <w:t>May 28, 2019 to</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01"/>
        </w:trPr>
        <w:tc>
          <w:tcPr>
            <w:tcW w:w="58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380" w:type="dxa"/>
            <w:vAlign w:val="bottom"/>
            <w:gridSpan w:val="7"/>
          </w:tcPr>
          <w:p>
            <w:pPr>
              <w:jc w:val="right"/>
              <w:ind w:right="1274"/>
              <w:spacing w:after="0"/>
              <w:rPr>
                <w:sz w:val="20"/>
                <w:szCs w:val="20"/>
                <w:color w:val="auto"/>
              </w:rPr>
            </w:pPr>
            <w:r>
              <w:rPr>
                <w:rFonts w:ascii="Arial" w:cs="Arial" w:eastAsia="Arial" w:hAnsi="Arial"/>
                <w:sz w:val="16"/>
                <w:szCs w:val="16"/>
                <w:b w:val="1"/>
                <w:bCs w:val="1"/>
                <w:color w:val="auto"/>
                <w:w w:val="98"/>
              </w:rPr>
              <w:t>(In thousands, except per unit amounts)</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Rattler Midstream LP</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24"/>
        </w:trPr>
        <w:tc>
          <w:tcPr>
            <w:tcW w:w="58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Less: net income allocated to participating securities</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2"/>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unitholders</w:t>
            </w:r>
          </w:p>
        </w:tc>
        <w:tc>
          <w:tcPr>
            <w:tcW w:w="10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35,011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10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40,682</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43,739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unit, basic</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 per common unit, diluted</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7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15" w:lineRule="exact"/>
        <w:rPr>
          <w:rFonts w:ascii="Arial" w:cs="Arial" w:eastAsia="Arial" w:hAnsi="Arial"/>
          <w:sz w:val="18"/>
          <w:szCs w:val="18"/>
          <w:color w:val="auto"/>
        </w:rPr>
      </w:pPr>
    </w:p>
    <w:p>
      <w:pPr>
        <w:jc w:val="both"/>
        <w:ind w:left="320" w:hanging="315"/>
        <w:spacing w:after="0" w:line="246" w:lineRule="auto"/>
        <w:tabs>
          <w:tab w:leader="none" w:pos="3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years ended December 31, 2021, 2020 and 2019 no potential common units were included in the computation of diluted earnings per unit because their inclusion would have been anti-dilutive under the treasury stock method for the periods presented. However, such potential common units could dilute basic earnings per unit in future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4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Related party transactions include transactions with Diamondback. The Partnership has entered into certain agreements that govern these transactions during the years ended December 31, 2021, 2020 and 2019 as described further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Partnership derives substantially all of its revenue from its commercial agreements with Diamondback for the provision of midstream services.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Revenues generated from commercial agreements with Diamondback consist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4"/>
        </w:trPr>
        <w:tc>
          <w:tcPr>
            <w:tcW w:w="6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r>
      <w:tr>
        <w:trPr>
          <w:trHeight w:val="204"/>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263,833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271,634</w:t>
            </w: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Sourced water gathering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112,748</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gathering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r>
      <w:tr>
        <w:trPr>
          <w:trHeight w:val="224"/>
        </w:trPr>
        <w:tc>
          <w:tcPr>
            <w:tcW w:w="6480" w:type="dxa"/>
            <w:vAlign w:val="bottom"/>
          </w:tcPr>
          <w:p>
            <w:pPr>
              <w:ind w:left="20"/>
              <w:spacing w:after="0"/>
              <w:rPr>
                <w:sz w:val="20"/>
                <w:szCs w:val="20"/>
                <w:color w:val="auto"/>
              </w:rPr>
            </w:pPr>
            <w:r>
              <w:rPr>
                <w:rFonts w:ascii="Arial" w:cs="Arial" w:eastAsia="Arial" w:hAnsi="Arial"/>
                <w:sz w:val="18"/>
                <w:szCs w:val="18"/>
                <w:color w:val="auto"/>
              </w:rPr>
              <w:t>Crude oil gathering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9,864</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7"/>
        </w:trPr>
        <w:tc>
          <w:tcPr>
            <w:tcW w:w="648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356,498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379,089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409,120</w:t>
            </w:r>
          </w:p>
        </w:tc>
      </w:tr>
      <w:tr>
        <w:trPr>
          <w:trHeight w:val="20"/>
        </w:trPr>
        <w:tc>
          <w:tcPr>
            <w:tcW w:w="6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Contribution Agreement</w:t>
      </w:r>
    </w:p>
    <w:p>
      <w:pPr>
        <w:spacing w:after="0" w:line="24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 February 2019, the Predecessor entered into a contribution agreement with Diamondback by which Diamondback contributed midstream assets to the Predecessor, including certain crude oil gathering, produced water disposal wells, land and buildings. The contribution was effective as of January 1, 2019 and was comprised of approximately $297.6 million of net property, plant and equipment and $3.3 million of asset retirement obligations related to the contributed assets.</w:t>
      </w:r>
    </w:p>
    <w:p>
      <w:pPr>
        <w:spacing w:after="0" w:line="152" w:lineRule="exact"/>
        <w:rPr>
          <w:sz w:val="20"/>
          <w:szCs w:val="20"/>
          <w:color w:val="auto"/>
        </w:rPr>
      </w:pPr>
    </w:p>
    <w:p>
      <w:pPr>
        <w:jc w:val="both"/>
        <w:ind w:firstLine="632"/>
        <w:spacing w:after="0" w:line="291" w:lineRule="auto"/>
        <w:rPr>
          <w:rFonts w:ascii="Arial" w:cs="Arial" w:eastAsia="Arial" w:hAnsi="Arial"/>
          <w:sz w:val="16"/>
          <w:szCs w:val="16"/>
          <w:color w:val="auto"/>
        </w:rPr>
      </w:pPr>
      <w:r>
        <w:rPr>
          <w:rFonts w:ascii="Arial" w:cs="Arial" w:eastAsia="Arial" w:hAnsi="Arial"/>
          <w:sz w:val="16"/>
          <w:szCs w:val="16"/>
          <w:color w:val="auto"/>
        </w:rPr>
        <w:t>In December 2021, the Partnership entered into a contribution agreement with Diamondback by which Diamondback contributed midstream assets to the Partnership, including certain produced water disposal wells and associated gathering assets, sourced water wells, fresh water pits and associated gathering assets. The contribution was effective as of December 1, 2021 and was comprised of assets with a historical carrying value of approximately $159.5 million. See Note 4—</w:t>
      </w:r>
      <w:hyperlink w:anchor="page83">
        <w:r>
          <w:rPr>
            <w:rFonts w:ascii="Arial" w:cs="Arial" w:eastAsia="Arial" w:hAnsi="Arial"/>
            <w:sz w:val="16"/>
            <w:szCs w:val="16"/>
            <w:u w:val="single" w:color="auto"/>
            <w:color w:val="0000FF"/>
          </w:rPr>
          <w:t>Acquisitions and Divestitures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discussion on the Drop Down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Contribution Agreement</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Prior to the IPO, the Partnership entered into an equity contribution agreement with the Operating Company under which the Partnership contributed all of the net proceeds of the IPO to the Operating Company in exchange for 38,000,000 Operating Company units. The Operating Company used the contributed funds to make distributions to Diamondback and for general company purposes.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Fasken Center Agreement</w:t>
      </w:r>
    </w:p>
    <w:p>
      <w:pPr>
        <w:spacing w:after="0" w:line="18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Partnership has entered into a long-term lease agreement with Diamondback for certain office space located within the Fasken Center. For the years ended December 31, 2021, 2020 and 2019, the Partnership received $8.9 million, $7.8 million and $5.2 million related to its lease agreement with Diamondback,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Partnership reimburses Diamondback for the cost of the seconded employees and contractors, including their wages and benefits. For the years ended December 31, 2021, 2020, and 2019, the Partnership paid $7.7 million, $5.9 million and $5.1 million related to its service and secondment agreement with Diamondback.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INCOME TAXES</w:t>
      </w:r>
    </w:p>
    <w:p>
      <w:pPr>
        <w:spacing w:after="0" w:line="247"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Prior to the Partnership’s IPO, all of the membership interests of the Predecessor were owned by a single member. Under applicable federal income tax provisions, the Predecessor’s legal existence as an entity separate from its sole owner was disregarded for U.S. federal income tax purposes. As a result, the Predecessor’s owner, Diamondback, was responsible for federal income taxes on its share of the Predecessor’s taxable income. Similarly, the Predecessor had no tax attributes such as net operating loss carryforwards because such tax attributes are treated for federal income tax purposes as attributable to the Predecessor’s owner.</w:t>
      </w:r>
    </w:p>
    <w:p>
      <w:pPr>
        <w:spacing w:after="0" w:line="222"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In certain circumstances, GAAP requires or permits entities such as the Predecessor to account for income taxes under the principles of ASC Topic 740, “Income Taxes” (“ASC Topic 740”), notwithstanding the fact that the separate legal entity’s activity is attributed to its owner for income tax purposes. Accordingly, the Predecessor has applied the principles of ASC Topic 740 to its financial statements herein, for periods prior to the Partnership’s IPO, as if the Predecessor had been subject to taxation as a corporation. For the year ended December 31, 2019, net income for the period prior to the Partnership’s IPO reflects income taxes based on federal and state income tax rates, net of federal benefit, applicable to the Predecessor as if it had been subject to taxation as a corporation. At the closing of the IPO, an adjustment of $31.1 million to equity of the Predecessor was recorded for the elimination of current and deferred tax liabilities related to the period prior to the IPO.</w:t>
      </w:r>
    </w:p>
    <w:p>
      <w:pPr>
        <w:spacing w:after="0" w:line="194" w:lineRule="exact"/>
        <w:rPr>
          <w:sz w:val="20"/>
          <w:szCs w:val="20"/>
          <w:color w:val="auto"/>
        </w:rPr>
      </w:pPr>
    </w:p>
    <w:p>
      <w:pPr>
        <w:jc w:val="both"/>
        <w:ind w:firstLine="632"/>
        <w:spacing w:after="0" w:line="316" w:lineRule="auto"/>
        <w:rPr>
          <w:sz w:val="20"/>
          <w:szCs w:val="20"/>
          <w:color w:val="auto"/>
        </w:rPr>
      </w:pPr>
      <w:r>
        <w:rPr>
          <w:rFonts w:ascii="Arial" w:cs="Arial" w:eastAsia="Arial" w:hAnsi="Arial"/>
          <w:sz w:val="15"/>
          <w:szCs w:val="15"/>
          <w:color w:val="auto"/>
        </w:rPr>
        <w:t>Subsequent to the Partnership’s IPO, the Partnership provides for income taxes under the asset and liability method. Deferred tax assets and liabilities are determined based on the difference between the financial statement and tax basis of assets and liabilities, specifically the Partnership’s investment in the Operating Company, using enacted tax rates expected to be in effect during the year in which the basis differences reverse. Valuation allowances are established when management determines it is more likely than not that some portion, or all, of the Partnership’s deferred tax assets will not be realized.</w:t>
      </w:r>
    </w:p>
    <w:p>
      <w:pPr>
        <w:spacing w:after="0" w:line="17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For the years ended December 31, 2021 and 2020, the Partnership’s net income from continuing operations reflects income tax expense of $10.5 million and $10.2 million, respectively. Net income from continuing operations for the 2019 period subsequent to the IPO reflects income tax expense of $8.1 million and net income of the Predecessor reflects income tax expense of $18.2 million in 2019. Total income tax expense from continuing operations for the years ended December 31, 2021, 2020 and 2019 differed from applying the U.S. statutory corporate income tax rate of 21% to pre-tax income primarily due to state income taxes, net of federal benefit, and due to net income attributable to the non-controlling interest for the periods subsequent to the IPO.</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components of the provision for income taxes from continuing operations for the years ended December 31, 2021, 2020 and 2019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ind w:left="100"/>
              <w:spacing w:after="0" w:line="155" w:lineRule="exact"/>
              <w:rPr>
                <w:sz w:val="20"/>
                <w:szCs w:val="20"/>
                <w:color w:val="auto"/>
              </w:rPr>
            </w:pPr>
            <w:r>
              <w:rPr>
                <w:rFonts w:ascii="Arial" w:cs="Arial" w:eastAsia="Arial" w:hAnsi="Arial"/>
                <w:sz w:val="16"/>
                <w:szCs w:val="16"/>
                <w:b w:val="1"/>
                <w:bCs w:val="1"/>
                <w:color w:val="auto"/>
                <w:w w:val="97"/>
              </w:rPr>
              <w:t>2019 Subsequent to</w:t>
            </w:r>
          </w:p>
        </w:tc>
        <w:tc>
          <w:tcPr>
            <w:tcW w:w="120" w:type="dxa"/>
            <w:vAlign w:val="bottom"/>
          </w:tcPr>
          <w:p>
            <w:pPr>
              <w:spacing w:after="0"/>
              <w:rPr>
                <w:sz w:val="13"/>
                <w:szCs w:val="13"/>
                <w:color w:val="auto"/>
              </w:rPr>
            </w:pPr>
          </w:p>
        </w:tc>
        <w:tc>
          <w:tcPr>
            <w:tcW w:w="138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w w:val="94"/>
              </w:rPr>
              <w:t>2019 Prior to IPO</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IPO</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Current income tax provision:</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497"/>
              <w:spacing w:after="0"/>
              <w:rPr>
                <w:sz w:val="20"/>
                <w:szCs w:val="20"/>
                <w:color w:val="auto"/>
              </w:rPr>
            </w:pPr>
            <w:r>
              <w:rPr>
                <w:rFonts w:ascii="Arial" w:cs="Arial" w:eastAsia="Arial" w:hAnsi="Arial"/>
                <w:sz w:val="16"/>
                <w:szCs w:val="16"/>
                <w:b w:val="1"/>
                <w:bCs w:val="1"/>
                <w:color w:val="auto"/>
                <w:w w:val="96"/>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Deferred income tax provision:</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24"/>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provision</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10,023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7"/>
        </w:trPr>
        <w:tc>
          <w:tcPr>
            <w:tcW w:w="48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10,530</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10,229</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8,071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statutory federal income tax amount from continuing operations to the recorded expense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16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85"/>
              </w:rPr>
              <w:t>2019 Subsequent to</w:t>
            </w:r>
          </w:p>
        </w:tc>
        <w:tc>
          <w:tcPr>
            <w:tcW w:w="120" w:type="dxa"/>
            <w:vAlign w:val="bottom"/>
          </w:tcPr>
          <w:p>
            <w:pPr>
              <w:spacing w:after="0"/>
              <w:rPr>
                <w:sz w:val="13"/>
                <w:szCs w:val="13"/>
                <w:color w:val="auto"/>
              </w:rPr>
            </w:pPr>
          </w:p>
        </w:tc>
        <w:tc>
          <w:tcPr>
            <w:tcW w:w="138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w w:val="94"/>
              </w:rPr>
              <w:t>2019 Prior to IPO</w:t>
            </w:r>
          </w:p>
        </w:tc>
        <w:tc>
          <w:tcPr>
            <w:tcW w:w="0" w:type="dxa"/>
            <w:vAlign w:val="bottom"/>
          </w:tcPr>
          <w:p>
            <w:pPr>
              <w:spacing w:after="0"/>
              <w:rPr>
                <w:sz w:val="1"/>
                <w:szCs w:val="1"/>
                <w:color w:val="auto"/>
              </w:rPr>
            </w:pPr>
          </w:p>
        </w:tc>
      </w:tr>
      <w:tr>
        <w:trPr>
          <w:trHeight w:val="208"/>
        </w:trPr>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IPO</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the federal statutory rate (21%)</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w:t>
            </w:r>
          </w:p>
        </w:tc>
        <w:tc>
          <w:tcPr>
            <w:tcW w:w="0" w:type="dxa"/>
            <w:vAlign w:val="bottom"/>
          </w:tcPr>
          <w:p>
            <w:pPr>
              <w:spacing w:after="0"/>
              <w:rPr>
                <w:sz w:val="1"/>
                <w:szCs w:val="1"/>
                <w:color w:val="auto"/>
              </w:rPr>
            </w:pPr>
          </w:p>
        </w:tc>
      </w:tr>
      <w:tr>
        <w:trPr>
          <w:trHeight w:val="224"/>
        </w:trPr>
        <w:tc>
          <w:tcPr>
            <w:tcW w:w="4880" w:type="dxa"/>
            <w:vAlign w:val="bottom"/>
          </w:tcPr>
          <w:p>
            <w:pPr>
              <w:ind w:left="20"/>
              <w:spacing w:after="0"/>
              <w:rPr>
                <w:sz w:val="20"/>
                <w:szCs w:val="20"/>
                <w:color w:val="auto"/>
              </w:rPr>
            </w:pPr>
            <w:r>
              <w:rPr>
                <w:rFonts w:ascii="Arial" w:cs="Arial" w:eastAsia="Arial" w:hAnsi="Arial"/>
                <w:sz w:val="18"/>
                <w:szCs w:val="18"/>
                <w:color w:val="auto"/>
              </w:rPr>
              <w:t>Impact of nontaxable non-controlling interest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effect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4"/>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deferred tax assets and liabilities as of December 31, 2021 and 2020 of the Partnership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04"/>
        </w:trPr>
        <w:tc>
          <w:tcPr>
            <w:tcW w:w="80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204"/>
        </w:trPr>
        <w:tc>
          <w:tcPr>
            <w:tcW w:w="8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80" w:type="dxa"/>
            <w:vAlign w:val="bottom"/>
            <w:gridSpan w:val="3"/>
          </w:tcPr>
          <w:p>
            <w:pPr>
              <w:jc w:val="right"/>
              <w:ind w:right="455"/>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17"/>
                <w:szCs w:val="17"/>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4"/>
        </w:trPr>
        <w:tc>
          <w:tcPr>
            <w:tcW w:w="8000" w:type="dxa"/>
            <w:vAlign w:val="bottom"/>
          </w:tcPr>
          <w:p>
            <w:pPr>
              <w:ind w:left="220"/>
              <w:spacing w:after="0"/>
              <w:rPr>
                <w:sz w:val="20"/>
                <w:szCs w:val="20"/>
                <w:color w:val="auto"/>
              </w:rPr>
            </w:pPr>
            <w:r>
              <w:rPr>
                <w:rFonts w:ascii="Arial" w:cs="Arial" w:eastAsia="Arial" w:hAnsi="Arial"/>
                <w:sz w:val="18"/>
                <w:szCs w:val="18"/>
                <w:color w:val="auto"/>
              </w:rPr>
              <w:t>Net operating loss and other carryforwards (indefinite life)</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22,771</w:t>
            </w:r>
          </w:p>
        </w:tc>
        <w:tc>
          <w:tcPr>
            <w:tcW w:w="120" w:type="dxa"/>
            <w:vAlign w:val="bottom"/>
          </w:tcPr>
          <w:p>
            <w:pPr>
              <w:spacing w:after="0"/>
              <w:rPr>
                <w:sz w:val="19"/>
                <w:szCs w:val="19"/>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15,684</w:t>
            </w:r>
          </w:p>
        </w:tc>
      </w:tr>
      <w:tr>
        <w:trPr>
          <w:trHeight w:val="224"/>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the Operating Company</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39,585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57,580</w:t>
            </w:r>
          </w:p>
        </w:tc>
      </w:tr>
      <w:tr>
        <w:trPr>
          <w:trHeight w:val="217"/>
        </w:trPr>
        <w:tc>
          <w:tcPr>
            <w:tcW w:w="800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62,356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73,264</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 in the Operating Company</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liabilities</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000" w:type="dxa"/>
            <w:vAlign w:val="bottom"/>
          </w:tcPr>
          <w:p>
            <w:pPr>
              <w:ind w:left="860"/>
              <w:spacing w:after="0"/>
              <w:rPr>
                <w:sz w:val="20"/>
                <w:szCs w:val="20"/>
                <w:color w:val="auto"/>
              </w:rPr>
            </w:pPr>
            <w:r>
              <w:rPr>
                <w:rFonts w:ascii="Arial" w:cs="Arial" w:eastAsia="Arial" w:hAnsi="Arial"/>
                <w:sz w:val="18"/>
                <w:szCs w:val="18"/>
                <w:color w:val="auto"/>
              </w:rPr>
              <w:t>Net deferred tax assets (liabilities)</w:t>
            </w: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62,356</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73,264</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Partnership had net deferred tax assets of approximately $62.4 million and $73.3 million at December 31, 2021 and 2020, respectively. Subsequent to the deemed formation of the Operating Company as a partnership for federal income tax purposes upon the Partnership’s IPO, deferred taxes are provided on the difference between the Partnership’s basis for financial accounting purposes and basis for federal income tax purposes in its investment in the Operating Company. At December 31, 2021, the Partnership had approximately $108.4 million of federal NOLs with an indefinite carryforward life. The Partnership principally operates in the state of Texas and, for the year ended December 31, 2021, has accrued state income tax expense of $0.3 million for its share of Texas margin tax attributable to the Partnership’s results which are included in a combined tax return filed by Diamondback.</w:t>
      </w:r>
    </w:p>
    <w:p>
      <w:pPr>
        <w:spacing w:after="0" w:line="196"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Management considers the likelihood that the Partnership’s net operating losses and other deferred tax attributes will be utilized prior to their expiration, if applicable. At December 31, 2021, management’s assessment included consideration of all available positive and negative evidence, including the Partnership’s projected future taxable income and the anticipated timing of reversal of deferred tax assets. As a result of the assessment, management determined that it is more likely than not that the Partnership will realize its deferred tax assets.</w:t>
      </w:r>
    </w:p>
    <w:p>
      <w:pPr>
        <w:spacing w:after="0" w:line="21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addition to the Partnership’s 2019 through 2021 tax years, the Predecessor’s 2016 through 2019 tax years, the periods during which the Predecessor’s sole owner, Diamondback, was responsible for federal income taxes on the Predecessor’s taxable income, remain open to examination by tax authorities. As of December 31, 2021, the Partnership did not have any significant uncertain tax positions requiring recognition in the financial statements. The Partnership is continuing its practice of recognizing interest and penalties related to income tax matters as interest expense and general and administrative expenses, respectively. During the year ended December 31, 2021, there was no interest or penalties associated with uncertain tax positions recognized in the Partnership’s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The American Rescue Plan was enacted on March 11, 2021 and the Coronavirus Aid, Relief, and Economic Security Act (“CARES Act”) was enacted on March 27, 2020, which included a number of provisions applicable to U.S. income taxes for corporations. The Partnership considered the impact of this legislation in the periods of enactment and concluded there was not a material impact to the Partnership’s current or deferred income tax balances.</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20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the fair value of financial instruments that are not recorded at fair value in the consolidated balance sheets: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4"/>
          </w:tcPr>
          <w:p>
            <w:pPr>
              <w:ind w:left="90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3260" w:type="dxa"/>
            <w:vAlign w:val="bottom"/>
            <w:gridSpan w:val="3"/>
          </w:tcPr>
          <w:p>
            <w:pPr>
              <w:jc w:val="right"/>
              <w:ind w:right="995"/>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4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97"/>
              <w:spacing w:after="0" w:line="207" w:lineRule="exact"/>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0"/>
                <w:szCs w:val="20"/>
                <w:b w:val="1"/>
                <w:bCs w:val="1"/>
                <w:color w:val="auto"/>
                <w:w w:val="94"/>
                <w:vertAlign w:val="superscript"/>
              </w:rPr>
              <w:t>(1)</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17"/>
              <w:spacing w:after="0" w:line="207" w:lineRule="exact"/>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0"/>
                <w:szCs w:val="20"/>
                <w:b w:val="1"/>
                <w:bCs w:val="1"/>
                <w:color w:val="auto"/>
                <w:w w:val="92"/>
                <w:vertAlign w:val="superscript"/>
              </w:rPr>
              <w:t>(1)</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Fair Value</w:t>
            </w:r>
          </w:p>
        </w:tc>
      </w:tr>
      <w:tr>
        <w:trPr>
          <w:trHeight w:val="201"/>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4"/>
          </w:tcPr>
          <w:p>
            <w:pPr>
              <w:jc w:val="right"/>
              <w:ind w:right="1177"/>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8"/>
                <w:szCs w:val="18"/>
                <w:color w:val="auto"/>
              </w:rPr>
              <w:t>5.625% Senior Notes due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492,956</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521,250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490,947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528,125</w:t>
            </w: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Company revolving credit facility</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195,000</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79,000</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 if any.</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fair value of the Operating Company’s revolving credit facility approximates its carrying value based on borrowing rates available to the Partnership for bank loans with similar terms and maturities and is classified as Level 2 in the fair value hierarchy. The fair value of the Notes was determined using the December 31, 2021 quoted market price, a Level 1 classification in the fair value hierarchy.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41" w:lineRule="exact"/>
        <w:rPr>
          <w:sz w:val="20"/>
          <w:szCs w:val="20"/>
          <w:color w:val="auto"/>
        </w:rPr>
      </w:pPr>
    </w:p>
    <w:p>
      <w:pPr>
        <w:jc w:val="both"/>
        <w:ind w:firstLine="632"/>
        <w:spacing w:after="0" w:line="253" w:lineRule="auto"/>
        <w:rPr>
          <w:rFonts w:ascii="Arial" w:cs="Arial" w:eastAsia="Arial" w:hAnsi="Arial"/>
          <w:sz w:val="18"/>
          <w:szCs w:val="18"/>
          <w:color w:val="0000FF"/>
        </w:rPr>
      </w:pPr>
      <w:r>
        <w:rPr>
          <w:rFonts w:ascii="Arial" w:cs="Arial" w:eastAsia="Arial" w:hAnsi="Arial"/>
          <w:sz w:val="18"/>
          <w:szCs w:val="18"/>
          <w:color w:val="auto"/>
        </w:rPr>
        <w:t xml:space="preserve">Certain assets and liabilities are measured at fair value on a nonrecurring basis in certain circumstances. These assets and liabilities can include </w:t>
      </w:r>
      <w:hyperlink w:anchor="page85">
        <w:r>
          <w:rPr>
            <w:rFonts w:ascii="Arial" w:cs="Arial" w:eastAsia="Arial" w:hAnsi="Arial"/>
            <w:sz w:val="18"/>
            <w:szCs w:val="18"/>
            <w:color w:val="auto"/>
          </w:rPr>
          <w:t>inventory, midstream assets and other long-lived assets that are written down to fair value when they are impaired or held for sale. Refer to Note 6—</w:t>
        </w:r>
        <w:r>
          <w:rPr>
            <w:rFonts w:ascii="Arial" w:cs="Arial" w:eastAsia="Arial" w:hAnsi="Arial"/>
            <w:sz w:val="18"/>
            <w:szCs w:val="18"/>
            <w:u w:val="single" w:color="auto"/>
            <w:color w:val="0000FF"/>
          </w:rPr>
          <w:t>Property,</w:t>
        </w:r>
      </w:hyperlink>
      <w:r>
        <w:rPr>
          <w:rFonts w:ascii="Arial" w:cs="Arial" w:eastAsia="Arial" w:hAnsi="Arial"/>
          <w:sz w:val="18"/>
          <w:szCs w:val="18"/>
          <w:color w:val="auto"/>
        </w:rPr>
        <w:t xml:space="preserve"> </w:t>
      </w:r>
      <w:hyperlink w:anchor="page85">
        <w:r>
          <w:rPr>
            <w:rFonts w:ascii="Arial" w:cs="Arial" w:eastAsia="Arial" w:hAnsi="Arial"/>
            <w:sz w:val="18"/>
            <w:szCs w:val="18"/>
            <w:u w:val="single" w:color="auto"/>
            <w:color w:val="0000FF"/>
          </w:rPr>
          <w:t>Plant and Equipment</w:t>
        </w:r>
        <w:r>
          <w:rPr>
            <w:rFonts w:ascii="Arial" w:cs="Arial" w:eastAsia="Arial" w:hAnsi="Arial"/>
            <w:sz w:val="18"/>
            <w:szCs w:val="18"/>
            <w:color w:val="0000FF"/>
          </w:rPr>
          <w:t xml:space="preserve"> </w:t>
        </w:r>
        <w:r>
          <w:rPr>
            <w:rFonts w:ascii="Arial" w:cs="Arial" w:eastAsia="Arial" w:hAnsi="Arial"/>
            <w:sz w:val="18"/>
            <w:szCs w:val="18"/>
            <w:color w:val="000000"/>
          </w:rPr>
          <w:t>for additional discussion of nonrecurring fair value adjustments.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41"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Partnership has other financial instruments consisting of cash, accounts receivable, other current assets, accounts payable, accrued liabilities and various other current liabilities. The carrying value of these instruments approximates fair value because of the short-term nature of the instruments.</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4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Partnership may be a party to various legal proceedings, disputes and claims from time to time arising in the ordinary course of its business. The Partnership’s management believes there are currently no such matters that, if decided adversely, will have a material adverse effect on the Partnership’s financial condition, results of operations, or cash flows.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Volume Commitment Agreement</w:t>
      </w:r>
    </w:p>
    <w:p>
      <w:pPr>
        <w:spacing w:after="0" w:line="241" w:lineRule="exact"/>
        <w:rPr>
          <w:sz w:val="20"/>
          <w:szCs w:val="20"/>
          <w:color w:val="auto"/>
        </w:rPr>
      </w:pPr>
    </w:p>
    <w:p>
      <w:pPr>
        <w:jc w:val="both"/>
        <w:ind w:firstLine="553"/>
        <w:spacing w:after="0" w:line="262" w:lineRule="auto"/>
        <w:rPr>
          <w:sz w:val="20"/>
          <w:szCs w:val="20"/>
          <w:color w:val="auto"/>
        </w:rPr>
      </w:pPr>
      <w:r>
        <w:rPr>
          <w:rFonts w:ascii="Arial" w:cs="Arial" w:eastAsia="Arial" w:hAnsi="Arial"/>
          <w:sz w:val="18"/>
          <w:szCs w:val="18"/>
          <w:color w:val="auto"/>
        </w:rPr>
        <w:t>The Partnership has a water services agreement for produced water disposal services through 2034. The following is a schedule of minimum future payments associated with this agreement as of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Volume</w:t>
            </w:r>
          </w:p>
        </w:tc>
        <w:tc>
          <w:tcPr>
            <w:tcW w:w="0" w:type="dxa"/>
            <w:vAlign w:val="bottom"/>
          </w:tcPr>
          <w:p>
            <w:pPr>
              <w:spacing w:after="0"/>
              <w:rPr>
                <w:sz w:val="1"/>
                <w:szCs w:val="1"/>
                <w:color w:val="auto"/>
              </w:rPr>
            </w:pPr>
          </w:p>
        </w:tc>
      </w:tr>
      <w:tr>
        <w:trPr>
          <w:trHeight w:val="158"/>
        </w:trPr>
        <w:tc>
          <w:tcPr>
            <w:tcW w:w="980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3"/>
                <w:szCs w:val="13"/>
                <w:color w:val="auto"/>
              </w:rPr>
            </w:pPr>
          </w:p>
        </w:tc>
        <w:tc>
          <w:tcPr>
            <w:tcW w:w="12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89"/>
              </w:rPr>
              <w:t>Commitment</w:t>
            </w:r>
          </w:p>
        </w:tc>
        <w:tc>
          <w:tcPr>
            <w:tcW w:w="0" w:type="dxa"/>
            <w:vAlign w:val="bottom"/>
          </w:tcPr>
          <w:p>
            <w:pPr>
              <w:spacing w:after="0"/>
              <w:rPr>
                <w:sz w:val="1"/>
                <w:szCs w:val="1"/>
                <w:color w:val="auto"/>
              </w:rPr>
            </w:pPr>
          </w:p>
        </w:tc>
      </w:tr>
      <w:tr>
        <w:trPr>
          <w:trHeight w:val="208"/>
        </w:trPr>
        <w:tc>
          <w:tcPr>
            <w:tcW w:w="9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6"/>
              </w:rPr>
              <w:t>Agreements</w:t>
            </w:r>
          </w:p>
        </w:tc>
        <w:tc>
          <w:tcPr>
            <w:tcW w:w="0" w:type="dxa"/>
            <w:vAlign w:val="bottom"/>
          </w:tcPr>
          <w:p>
            <w:pPr>
              <w:spacing w:after="0"/>
              <w:rPr>
                <w:sz w:val="1"/>
                <w:szCs w:val="1"/>
                <w:color w:val="auto"/>
              </w:rPr>
            </w:pPr>
          </w:p>
        </w:tc>
      </w:tr>
      <w:tr>
        <w:trPr>
          <w:trHeight w:val="204"/>
        </w:trPr>
        <w:tc>
          <w:tcPr>
            <w:tcW w:w="9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4"/>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4"/>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4"/>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4"/>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4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Method Investment Capital Commitment</w:t>
      </w:r>
    </w:p>
    <w:p>
      <w:pPr>
        <w:spacing w:after="0" w:line="241"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As of December 31, 2021, the Partnership’s anticipated future capital commitments for its equity method investments totaled $28.2 million in the aggregate. The timing of requested capital commitments can vary, but at December 31, 2021, up to approximately $11.0 million of the remaining commitment could be funded in 2022, with remaining commitments of $17.2 million expected to be funded in 2023.</w:t>
      </w:r>
    </w:p>
    <w:p>
      <w:pPr>
        <w:spacing w:after="0" w:line="209" w:lineRule="exact"/>
        <w:rPr>
          <w:sz w:val="20"/>
          <w:szCs w:val="20"/>
          <w:color w:val="auto"/>
        </w:rPr>
      </w:pPr>
    </w:p>
    <w:p>
      <w:pPr>
        <w:ind w:left="640" w:right="8920" w:hanging="635"/>
        <w:spacing w:after="0" w:line="588" w:lineRule="auto"/>
        <w:tabs>
          <w:tab w:leader="none" w:pos="40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color w:val="auto"/>
        </w:rPr>
        <w:t>Cash Distribution</w:t>
      </w:r>
    </w:p>
    <w:p>
      <w:pPr>
        <w:jc w:val="both"/>
        <w:ind w:firstLine="632"/>
        <w:spacing w:after="0" w:line="262" w:lineRule="auto"/>
        <w:rPr>
          <w:sz w:val="20"/>
          <w:szCs w:val="20"/>
          <w:color w:val="auto"/>
        </w:rPr>
      </w:pPr>
      <w:r>
        <w:rPr>
          <w:rFonts w:ascii="Arial" w:cs="Arial" w:eastAsia="Arial" w:hAnsi="Arial"/>
          <w:sz w:val="18"/>
          <w:szCs w:val="18"/>
          <w:color w:val="auto"/>
        </w:rPr>
        <w:t>On February 16, 2022, the board of directors of the General Partner approved a cash distribution for the fourth quarter of 2021 of $0.30 per common unit, payable on March 14, 2022, to common unitholders of record at the close of business on March 7, 2022.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BANGL Joint Venture Acquisition</w:t>
      </w:r>
    </w:p>
    <w:p>
      <w:pPr>
        <w:spacing w:after="0" w:line="228" w:lineRule="exact"/>
        <w:rPr>
          <w:sz w:val="20"/>
          <w:szCs w:val="20"/>
          <w:color w:val="auto"/>
        </w:rPr>
      </w:pPr>
    </w:p>
    <w:p>
      <w:pPr>
        <w:jc w:val="both"/>
        <w:ind w:firstLine="632"/>
        <w:spacing w:after="0" w:line="224" w:lineRule="auto"/>
        <w:rPr>
          <w:sz w:val="20"/>
          <w:szCs w:val="20"/>
          <w:color w:val="auto"/>
        </w:rPr>
      </w:pPr>
      <w:r>
        <w:rPr>
          <w:rFonts w:ascii="Arial" w:cs="Arial" w:eastAsia="Arial" w:hAnsi="Arial"/>
          <w:sz w:val="18"/>
          <w:szCs w:val="18"/>
          <w:color w:val="auto"/>
        </w:rPr>
        <w:t>On January 19, 2022, a wholly owned subsidiary of the Operating Company invested approximately $22.2 million in cash to acquire a 10% interest in the BANGL, LLC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b w:val="1"/>
          <w:bCs w:val="1"/>
          <w:color w:val="auto"/>
        </w:rPr>
        <w:t>EXHIBIT 4.4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SUPPLEMENTAL INDENTURE</w:t>
      </w:r>
    </w:p>
    <w:p>
      <w:pPr>
        <w:spacing w:after="0" w:line="199"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December 8, 2021, among Rattler WTG LLC, a Delaware limited liability company (the “</w:t>
      </w:r>
      <w:r>
        <w:rPr>
          <w:rFonts w:ascii="Arial" w:cs="Arial" w:eastAsia="Arial" w:hAnsi="Arial"/>
          <w:sz w:val="19"/>
          <w:szCs w:val="19"/>
          <w:i w:val="1"/>
          <w:iCs w:val="1"/>
          <w:color w:val="auto"/>
        </w:rPr>
        <w:t>Guaranteeing Subsidiary</w:t>
      </w:r>
      <w:r>
        <w:rPr>
          <w:rFonts w:ascii="Arial" w:cs="Arial" w:eastAsia="Arial" w:hAnsi="Arial"/>
          <w:sz w:val="19"/>
          <w:szCs w:val="19"/>
          <w:color w:val="auto"/>
        </w:rPr>
        <w:t>”), a subsidiary of Rattler Midstream LP (or its permitted successor), a Delaware limited partnership (the “</w:t>
      </w:r>
      <w:r>
        <w:rPr>
          <w:rFonts w:ascii="Arial" w:cs="Arial" w:eastAsia="Arial" w:hAnsi="Arial"/>
          <w:sz w:val="19"/>
          <w:szCs w:val="19"/>
          <w:i w:val="1"/>
          <w:iCs w:val="1"/>
          <w:color w:val="auto"/>
        </w:rPr>
        <w:t>Company</w:t>
      </w:r>
      <w:r>
        <w:rPr>
          <w:rFonts w:ascii="Arial" w:cs="Arial" w:eastAsia="Arial" w:hAnsi="Arial"/>
          <w:sz w:val="19"/>
          <w:szCs w:val="19"/>
          <w:color w:val="auto"/>
        </w:rPr>
        <w:t>”), the Company, the other Guarantors (as defined in the Indenture referred to herein) and Wells Fargo Bank, National Association, as trustee under the Indenture referred to below (the “</w:t>
      </w:r>
      <w:r>
        <w:rPr>
          <w:rFonts w:ascii="Arial" w:cs="Arial" w:eastAsia="Arial" w:hAnsi="Arial"/>
          <w:sz w:val="19"/>
          <w:szCs w:val="19"/>
          <w:i w:val="1"/>
          <w:iCs w:val="1"/>
          <w:color w:val="auto"/>
        </w:rPr>
        <w:t>Trustee</w:t>
      </w:r>
      <w:r>
        <w:rPr>
          <w:rFonts w:ascii="Arial" w:cs="Arial" w:eastAsia="Arial" w:hAnsi="Arial"/>
          <w:sz w:val="19"/>
          <w:szCs w:val="19"/>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 I T N E S S E T H</w:t>
      </w:r>
    </w:p>
    <w:p>
      <w:pPr>
        <w:spacing w:after="0" w:line="172"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WHEREAS, the Company has heretofore executed and delivered to the Trustee an indenture (as such may be amended and supplemented from time to time, the “</w:t>
      </w:r>
      <w:r>
        <w:rPr>
          <w:rFonts w:ascii="Arial" w:cs="Arial" w:eastAsia="Arial" w:hAnsi="Arial"/>
          <w:sz w:val="21"/>
          <w:szCs w:val="21"/>
          <w:i w:val="1"/>
          <w:iCs w:val="1"/>
          <w:color w:val="auto"/>
        </w:rPr>
        <w:t>Indenture</w:t>
      </w:r>
      <w:r>
        <w:rPr>
          <w:rFonts w:ascii="Arial" w:cs="Arial" w:eastAsia="Arial" w:hAnsi="Arial"/>
          <w:sz w:val="21"/>
          <w:szCs w:val="21"/>
          <w:color w:val="auto"/>
        </w:rPr>
        <w:t>”), dated as of July 14, 2020 providing for the issuance of 5.625% Senior Notes due 2025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8"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pursuant to Section 9.01 of the Indenture, the Trustee is authorized to execute and deliver this Supplemental Indenture.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55" w:lineRule="exact"/>
        <w:rPr>
          <w:sz w:val="20"/>
          <w:szCs w:val="20"/>
          <w:color w:val="auto"/>
        </w:rPr>
      </w:pPr>
    </w:p>
    <w:p>
      <w:pPr>
        <w:ind w:firstLine="638"/>
        <w:spacing w:after="0" w:line="237" w:lineRule="auto"/>
        <w:tabs>
          <w:tab w:leader="none" w:pos="1036" w:val="left"/>
        </w:tabs>
        <w:numPr>
          <w:ilvl w:val="0"/>
          <w:numId w:val="36"/>
        </w:numPr>
        <w:rPr>
          <w:rFonts w:ascii="Arial" w:cs="Arial" w:eastAsia="Arial" w:hAnsi="Arial"/>
          <w:sz w:val="21"/>
          <w:szCs w:val="21"/>
          <w:color w:val="auto"/>
        </w:rPr>
      </w:pPr>
      <w:r>
        <w:rPr>
          <w:rFonts w:ascii="Arial" w:cs="Arial" w:eastAsia="Arial" w:hAnsi="Arial"/>
          <w:sz w:val="21"/>
          <w:szCs w:val="21"/>
          <w:color w:val="auto"/>
        </w:rPr>
        <w:t>CAPITALIZED TERMS. Capitalized terms used herein without definition shall have the meanings assigned to them in the Indenture.</w:t>
      </w:r>
    </w:p>
    <w:p>
      <w:pPr>
        <w:spacing w:after="0" w:line="155" w:lineRule="exact"/>
        <w:rPr>
          <w:rFonts w:ascii="Arial" w:cs="Arial" w:eastAsia="Arial" w:hAnsi="Arial"/>
          <w:sz w:val="21"/>
          <w:szCs w:val="21"/>
          <w:color w:val="auto"/>
        </w:rPr>
      </w:pPr>
    </w:p>
    <w:p>
      <w:pPr>
        <w:jc w:val="both"/>
        <w:ind w:firstLine="638"/>
        <w:spacing w:after="0" w:line="226" w:lineRule="auto"/>
        <w:tabs>
          <w:tab w:leader="none" w:pos="11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8" w:lineRule="exact"/>
        <w:rPr>
          <w:rFonts w:ascii="Arial" w:cs="Arial" w:eastAsia="Arial" w:hAnsi="Arial"/>
          <w:sz w:val="20"/>
          <w:szCs w:val="20"/>
          <w:color w:val="auto"/>
        </w:rPr>
      </w:pPr>
    </w:p>
    <w:p>
      <w:pPr>
        <w:jc w:val="both"/>
        <w:ind w:firstLine="638"/>
        <w:spacing w:after="0" w:line="220" w:lineRule="auto"/>
        <w:tabs>
          <w:tab w:leader="none" w:pos="1047" w:val="left"/>
        </w:tabs>
        <w:numPr>
          <w:ilvl w:val="0"/>
          <w:numId w:val="36"/>
        </w:numPr>
        <w:rPr>
          <w:rFonts w:ascii="Arial" w:cs="Arial" w:eastAsia="Arial" w:hAnsi="Arial"/>
          <w:sz w:val="21"/>
          <w:szCs w:val="21"/>
          <w:color w:val="auto"/>
        </w:rPr>
      </w:pPr>
      <w:r>
        <w:rPr>
          <w:rFonts w:ascii="Arial" w:cs="Arial" w:eastAsia="Arial" w:hAnsi="Arial"/>
          <w:sz w:val="21"/>
          <w:szCs w:val="21"/>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240"/>
          </w:cols>
          <w:pgMar w:left="320" w:top="1364" w:right="339" w:bottom="1440" w:gutter="0" w:footer="0" w:header="0"/>
        </w:sectPr>
      </w:pPr>
    </w:p>
    <w:bookmarkStart w:id="99" w:name="page100"/>
    <w:bookmarkEnd w:id="99"/>
    <w:p>
      <w:pPr>
        <w:jc w:val="both"/>
        <w:ind w:firstLine="638"/>
        <w:spacing w:after="0" w:line="223" w:lineRule="auto"/>
        <w:tabs>
          <w:tab w:leader="none" w:pos="1013" w:val="left"/>
        </w:tabs>
        <w:numPr>
          <w:ilvl w:val="0"/>
          <w:numId w:val="37"/>
        </w:numPr>
        <w:rPr>
          <w:rFonts w:ascii="Arial" w:cs="Arial" w:eastAsia="Arial" w:hAnsi="Arial"/>
          <w:sz w:val="21"/>
          <w:szCs w:val="21"/>
          <w:color w:val="auto"/>
        </w:rPr>
      </w:pPr>
      <w:r>
        <w:rPr>
          <w:rFonts w:ascii="Arial" w:cs="Arial" w:eastAsia="Arial" w:hAnsi="Arial"/>
          <w:sz w:val="21"/>
          <w:szCs w:val="21"/>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56" w:lineRule="exact"/>
        <w:rPr>
          <w:rFonts w:ascii="Arial" w:cs="Arial" w:eastAsia="Arial" w:hAnsi="Arial"/>
          <w:sz w:val="21"/>
          <w:szCs w:val="21"/>
          <w:color w:val="auto"/>
        </w:rPr>
      </w:pPr>
    </w:p>
    <w:p>
      <w:pPr>
        <w:jc w:val="both"/>
        <w:ind w:firstLine="638"/>
        <w:spacing w:after="0" w:line="245" w:lineRule="auto"/>
        <w:tabs>
          <w:tab w:leader="none" w:pos="1033" w:val="left"/>
        </w:tabs>
        <w:numPr>
          <w:ilvl w:val="0"/>
          <w:numId w:val="37"/>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(“PDF”)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49" w:lineRule="exact"/>
        <w:rPr>
          <w:rFonts w:ascii="Arial" w:cs="Arial" w:eastAsia="Arial" w:hAnsi="Arial"/>
          <w:sz w:val="19"/>
          <w:szCs w:val="19"/>
          <w:color w:val="auto"/>
        </w:rPr>
      </w:pPr>
    </w:p>
    <w:p>
      <w:pPr>
        <w:ind w:left="1060" w:hanging="422"/>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hereof.</w:t>
      </w:r>
    </w:p>
    <w:p>
      <w:pPr>
        <w:spacing w:after="0" w:line="162" w:lineRule="exact"/>
        <w:rPr>
          <w:rFonts w:ascii="Arial" w:cs="Arial" w:eastAsia="Arial" w:hAnsi="Arial"/>
          <w:sz w:val="19"/>
          <w:szCs w:val="19"/>
          <w:color w:val="auto"/>
        </w:rPr>
      </w:pPr>
    </w:p>
    <w:p>
      <w:pPr>
        <w:jc w:val="both"/>
        <w:ind w:firstLine="638"/>
        <w:spacing w:after="0" w:line="218" w:lineRule="auto"/>
        <w:tabs>
          <w:tab w:leader="none" w:pos="1094"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 This document is provided by Computershare Trust Company, N.A., or one or more of its affiliates (collectively, “</w:t>
      </w:r>
      <w:r>
        <w:rPr>
          <w:rFonts w:ascii="Arial" w:cs="Arial" w:eastAsia="Arial" w:hAnsi="Arial"/>
          <w:sz w:val="21"/>
          <w:szCs w:val="21"/>
          <w:i w:val="1"/>
          <w:iCs w:val="1"/>
          <w:color w:val="auto"/>
        </w:rPr>
        <w:t>Computershare</w:t>
      </w:r>
      <w:r>
        <w:rPr>
          <w:rFonts w:ascii="Arial" w:cs="Arial" w:eastAsia="Arial" w:hAnsi="Arial"/>
          <w:sz w:val="21"/>
          <w:szCs w:val="21"/>
          <w:color w:val="auto"/>
        </w:rPr>
        <w:t>”), in its named capacity or as agent of or successor to the Trustee, or one or more of its affiliates, by virtue of the acquisition by Computershare of substantially all the assets of the corporate trust services business of the Trustee.</w:t>
      </w:r>
    </w:p>
    <w:p>
      <w:pPr>
        <w:sectPr>
          <w:pgSz w:w="11900" w:h="16838" w:orient="portrait"/>
          <w:cols w:equalWidth="0" w:num="1">
            <w:col w:w="11240"/>
          </w:cols>
          <w:pgMar w:left="320" w:top="1370" w:right="339" w:bottom="1440" w:gutter="0" w:footer="0" w:header="0"/>
        </w:sectPr>
      </w:pPr>
    </w:p>
    <w:bookmarkStart w:id="100" w:name="page101"/>
    <w:bookmarkEnd w:id="100"/>
    <w:p>
      <w:pPr>
        <w:ind w:firstLine="632"/>
        <w:spacing w:after="0" w:line="237"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all as of the date first above written.</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GUARANTEEING SUBSIDIARY</w:t>
      </w:r>
    </w:p>
    <w:p>
      <w:pPr>
        <w:spacing w:after="0" w:line="272"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WTG LLC</w:t>
      </w:r>
    </w:p>
    <w:p>
      <w:pPr>
        <w:spacing w:after="0" w:line="26" w:lineRule="exact"/>
        <w:rPr>
          <w:sz w:val="20"/>
          <w:szCs w:val="20"/>
          <w:color w:val="auto"/>
        </w:rPr>
      </w:pPr>
    </w:p>
    <w:p>
      <w:pPr>
        <w:ind w:left="5140"/>
        <w:spacing w:after="0"/>
        <w:tabs>
          <w:tab w:leader="none" w:pos="568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its sole member</w:t>
      </w:r>
    </w:p>
    <w:p>
      <w:pPr>
        <w:spacing w:after="0" w:line="268" w:lineRule="exact"/>
        <w:rPr>
          <w:sz w:val="20"/>
          <w:szCs w:val="20"/>
          <w:color w:val="auto"/>
        </w:rPr>
      </w:pPr>
    </w:p>
    <w:tbl>
      <w:tblPr>
        <w:tblLayout w:type="fixed"/>
        <w:tblInd w:w="514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Executive Vice President, Chief</w:t>
            </w:r>
          </w:p>
        </w:tc>
      </w:tr>
      <w:tr>
        <w:trPr>
          <w:trHeight w:val="263"/>
        </w:trPr>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Financial Officer and Assistant</w:t>
            </w:r>
          </w:p>
        </w:tc>
      </w:tr>
      <w:tr>
        <w:trPr>
          <w:trHeight w:val="268"/>
        </w:trPr>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40" w:lineRule="exact"/>
        <w:rPr>
          <w:sz w:val="20"/>
          <w:szCs w:val="20"/>
          <w:color w:val="auto"/>
        </w:rPr>
      </w:pPr>
    </w:p>
    <w:p>
      <w:pPr>
        <w:ind w:left="5140"/>
        <w:spacing w:after="0"/>
        <w:rPr>
          <w:sz w:val="20"/>
          <w:szCs w:val="20"/>
          <w:color w:val="auto"/>
        </w:rPr>
      </w:pPr>
      <w:r>
        <w:rPr>
          <w:rFonts w:ascii="Arial" w:cs="Arial" w:eastAsia="Arial" w:hAnsi="Arial"/>
          <w:sz w:val="21"/>
          <w:szCs w:val="21"/>
          <w:b w:val="1"/>
          <w:bCs w:val="1"/>
          <w:u w:val="single" w:color="auto"/>
          <w:color w:val="auto"/>
        </w:rPr>
        <w:t>COMPANY</w:t>
      </w:r>
    </w:p>
    <w:p>
      <w:pPr>
        <w:spacing w:after="0" w:line="278"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MIDSTREAM LP</w:t>
      </w:r>
    </w:p>
    <w:p>
      <w:pPr>
        <w:spacing w:after="0" w:line="26" w:lineRule="exact"/>
        <w:rPr>
          <w:sz w:val="20"/>
          <w:szCs w:val="20"/>
          <w:color w:val="auto"/>
        </w:rPr>
      </w:pPr>
    </w:p>
    <w:p>
      <w:pPr>
        <w:ind w:left="5140"/>
        <w:spacing w:after="0"/>
        <w:tabs>
          <w:tab w:leader="none" w:pos="5680" w:val="left"/>
        </w:tabs>
        <w:rPr>
          <w:sz w:val="20"/>
          <w:szCs w:val="20"/>
          <w:color w:val="auto"/>
        </w:rPr>
      </w:pPr>
      <w:r>
        <w:rPr>
          <w:rFonts w:ascii="Arial" w:cs="Arial" w:eastAsia="Arial" w:hAnsi="Arial"/>
          <w:sz w:val="21"/>
          <w:szCs w:val="21"/>
          <w:color w:val="auto"/>
        </w:rPr>
        <w:t>By:</w:t>
        <w:tab/>
        <w:t>Rattler Midstream GP LLC,</w:t>
      </w:r>
    </w:p>
    <w:p>
      <w:pPr>
        <w:spacing w:after="0" w:line="22" w:lineRule="exact"/>
        <w:rPr>
          <w:sz w:val="20"/>
          <w:szCs w:val="20"/>
          <w:color w:val="auto"/>
        </w:rPr>
      </w:pPr>
    </w:p>
    <w:tbl>
      <w:tblPr>
        <w:tblLayout w:type="fixed"/>
        <w:tblInd w:w="5140" w:type="dxa"/>
        <w:tblCellMar>
          <w:top w:w="0" w:type="dxa"/>
          <w:left w:w="0" w:type="dxa"/>
          <w:bottom w:w="0" w:type="dxa"/>
          <w:right w:w="0" w:type="dxa"/>
        </w:tblCellMar>
      </w:tblPr>
      <w:tr>
        <w:trPr>
          <w:trHeight w:val="268"/>
        </w:trPr>
        <w:tc>
          <w:tcPr>
            <w:tcW w:w="54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1"/>
                <w:szCs w:val="21"/>
                <w:color w:val="auto"/>
              </w:rPr>
              <w:t>its general partner</w:t>
            </w:r>
          </w:p>
        </w:tc>
      </w:tr>
      <w:tr>
        <w:trPr>
          <w:trHeight w:val="511"/>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3" w:lineRule="exact"/>
        <w:rPr>
          <w:sz w:val="20"/>
          <w:szCs w:val="20"/>
          <w:color w:val="auto"/>
        </w:rPr>
      </w:pPr>
    </w:p>
    <w:p>
      <w:pPr>
        <w:ind w:left="5140"/>
        <w:spacing w:after="0"/>
        <w:rPr>
          <w:sz w:val="20"/>
          <w:szCs w:val="20"/>
          <w:color w:val="auto"/>
        </w:rPr>
      </w:pPr>
      <w:r>
        <w:rPr>
          <w:rFonts w:ascii="Arial" w:cs="Arial" w:eastAsia="Arial" w:hAnsi="Arial"/>
          <w:sz w:val="21"/>
          <w:szCs w:val="21"/>
          <w:b w:val="1"/>
          <w:bCs w:val="1"/>
          <w:u w:val="single" w:color="auto"/>
          <w:color w:val="auto"/>
        </w:rPr>
        <w:t>GUARANTORS</w:t>
      </w:r>
    </w:p>
    <w:p>
      <w:pPr>
        <w:spacing w:after="0" w:line="291"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MIDSTREAM OPERATING LLC</w:t>
      </w:r>
    </w:p>
    <w:p>
      <w:pPr>
        <w:spacing w:after="0" w:line="285" w:lineRule="exact"/>
        <w:rPr>
          <w:sz w:val="20"/>
          <w:szCs w:val="20"/>
          <w:color w:val="auto"/>
        </w:rPr>
      </w:pPr>
    </w:p>
    <w:tbl>
      <w:tblPr>
        <w:tblLayout w:type="fixed"/>
        <w:tblInd w:w="514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00" w:lineRule="exact"/>
        <w:rPr>
          <w:sz w:val="20"/>
          <w:szCs w:val="20"/>
          <w:color w:val="auto"/>
        </w:rPr>
      </w:pPr>
    </w:p>
    <w:p>
      <w:pPr>
        <w:sectPr>
          <w:pgSz w:w="11900" w:h="16838" w:orient="portrait"/>
          <w:cols w:equalWidth="0" w:num="1">
            <w:col w:w="11240"/>
          </w:cols>
          <w:pgMar w:left="320" w:top="1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Supplemental Indenture</w:t>
      </w:r>
    </w:p>
    <w:p>
      <w:pPr>
        <w:sectPr>
          <w:pgSz w:w="11900" w:h="16838" w:orient="portrait"/>
          <w:cols w:equalWidth="0" w:num="1">
            <w:col w:w="11240"/>
          </w:cols>
          <w:pgMar w:left="320" w:top="1369" w:right="339" w:bottom="1440" w:gutter="0" w:footer="0" w:header="0"/>
          <w:type w:val="continuous"/>
        </w:sectPr>
      </w:pPr>
    </w:p>
    <w:bookmarkStart w:id="101" w:name="page102"/>
    <w:bookmarkEnd w:id="101"/>
    <w:p>
      <w:pPr>
        <w:jc w:val="center"/>
        <w:ind w:left="1460"/>
        <w:spacing w:after="0"/>
        <w:rPr>
          <w:sz w:val="20"/>
          <w:szCs w:val="20"/>
          <w:color w:val="auto"/>
        </w:rPr>
      </w:pPr>
      <w:r>
        <w:rPr>
          <w:rFonts w:ascii="Arial" w:cs="Arial" w:eastAsia="Arial" w:hAnsi="Arial"/>
          <w:sz w:val="21"/>
          <w:szCs w:val="21"/>
          <w:color w:val="auto"/>
        </w:rPr>
        <w:t>TALL CITY TOWERS LLC</w:t>
      </w:r>
    </w:p>
    <w:p>
      <w:pPr>
        <w:spacing w:after="0" w:line="285" w:lineRule="exact"/>
        <w:rPr>
          <w:sz w:val="20"/>
          <w:szCs w:val="20"/>
          <w:color w:val="auto"/>
        </w:rPr>
      </w:pPr>
    </w:p>
    <w:tbl>
      <w:tblPr>
        <w:tblLayout w:type="fixed"/>
        <w:tblInd w:w="402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RATTLER OMOG LLC</w:t>
      </w:r>
    </w:p>
    <w:p>
      <w:pPr>
        <w:spacing w:after="0" w:line="26" w:lineRule="exact"/>
        <w:rPr>
          <w:sz w:val="20"/>
          <w:szCs w:val="20"/>
          <w:color w:val="auto"/>
        </w:rPr>
      </w:pPr>
    </w:p>
    <w:p>
      <w:pPr>
        <w:ind w:left="4020"/>
        <w:spacing w:after="0"/>
        <w:tabs>
          <w:tab w:leader="none" w:pos="456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21"/>
          <w:szCs w:val="21"/>
          <w:color w:val="auto"/>
        </w:rPr>
        <w:t>its sole member</w:t>
      </w:r>
    </w:p>
    <w:p>
      <w:pPr>
        <w:spacing w:after="0" w:line="281" w:lineRule="exact"/>
        <w:rPr>
          <w:sz w:val="20"/>
          <w:szCs w:val="20"/>
          <w:color w:val="auto"/>
        </w:rPr>
      </w:pPr>
    </w:p>
    <w:p>
      <w:pPr>
        <w:jc w:val="center"/>
        <w:ind w:left="2080"/>
        <w:spacing w:after="0"/>
        <w:tabs>
          <w:tab w:leader="none" w:pos="240" w:val="left"/>
        </w:tabs>
        <w:rPr>
          <w:sz w:val="20"/>
          <w:szCs w:val="20"/>
          <w:color w:val="auto"/>
        </w:rPr>
      </w:pPr>
      <w:r>
        <w:rPr>
          <w:rFonts w:ascii="Arial" w:cs="Arial" w:eastAsia="Arial" w:hAnsi="Arial"/>
          <w:sz w:val="21"/>
          <w:szCs w:val="21"/>
          <w:color w:val="auto"/>
        </w:rPr>
        <w:t>By:</w:t>
        <w:tab/>
        <w:t>/s/ Teresa L. Dick</w:t>
      </w:r>
    </w:p>
    <w:p>
      <w:pPr>
        <w:spacing w:after="0" w:line="26" w:lineRule="exact"/>
        <w:rPr>
          <w:sz w:val="20"/>
          <w:szCs w:val="20"/>
          <w:color w:val="auto"/>
        </w:rPr>
      </w:pPr>
    </w:p>
    <w:tbl>
      <w:tblPr>
        <w:tblLayout w:type="fixed"/>
        <w:tblInd w:w="4560" w:type="dxa"/>
        <w:tblCellMar>
          <w:top w:w="0" w:type="dxa"/>
          <w:left w:w="0" w:type="dxa"/>
          <w:bottom w:w="0" w:type="dxa"/>
          <w:right w:w="0" w:type="dxa"/>
        </w:tblCellMar>
      </w:tblPr>
      <w:tr>
        <w:trPr>
          <w:trHeight w:val="252"/>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Borders>
              <w:top w:val="single" w:sz="8" w:color="auto"/>
            </w:tcBorders>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RATTLER AJAX PROCESSING LLC</w:t>
      </w:r>
    </w:p>
    <w:p>
      <w:pPr>
        <w:spacing w:after="0" w:line="26" w:lineRule="exact"/>
        <w:rPr>
          <w:sz w:val="20"/>
          <w:szCs w:val="20"/>
          <w:color w:val="auto"/>
        </w:rPr>
      </w:pPr>
    </w:p>
    <w:p>
      <w:pPr>
        <w:ind w:left="4020"/>
        <w:spacing w:after="0"/>
        <w:tabs>
          <w:tab w:leader="none" w:pos="456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jc w:val="center"/>
        <w:ind w:left="1480"/>
        <w:spacing w:after="0"/>
        <w:rPr>
          <w:sz w:val="20"/>
          <w:szCs w:val="20"/>
          <w:color w:val="auto"/>
        </w:rPr>
      </w:pPr>
      <w:r>
        <w:rPr>
          <w:rFonts w:ascii="Arial" w:cs="Arial" w:eastAsia="Arial" w:hAnsi="Arial"/>
          <w:sz w:val="21"/>
          <w:szCs w:val="21"/>
          <w:color w:val="auto"/>
        </w:rPr>
        <w:t>its sole member</w:t>
      </w:r>
    </w:p>
    <w:p>
      <w:pPr>
        <w:spacing w:after="0" w:line="281" w:lineRule="exact"/>
        <w:rPr>
          <w:sz w:val="20"/>
          <w:szCs w:val="20"/>
          <w:color w:val="auto"/>
        </w:rPr>
      </w:pPr>
    </w:p>
    <w:p>
      <w:pPr>
        <w:jc w:val="center"/>
        <w:ind w:left="2080"/>
        <w:spacing w:after="0"/>
        <w:tabs>
          <w:tab w:leader="none" w:pos="240" w:val="left"/>
        </w:tabs>
        <w:rPr>
          <w:sz w:val="20"/>
          <w:szCs w:val="20"/>
          <w:color w:val="auto"/>
        </w:rPr>
      </w:pPr>
      <w:r>
        <w:rPr>
          <w:rFonts w:ascii="Arial" w:cs="Arial" w:eastAsia="Arial" w:hAnsi="Arial"/>
          <w:sz w:val="21"/>
          <w:szCs w:val="21"/>
          <w:color w:val="auto"/>
        </w:rPr>
        <w:t>By:</w:t>
        <w:tab/>
        <w:t>/s/ Teresa L. Dick</w:t>
      </w:r>
    </w:p>
    <w:p>
      <w:pPr>
        <w:spacing w:after="0" w:line="26" w:lineRule="exact"/>
        <w:rPr>
          <w:sz w:val="20"/>
          <w:szCs w:val="20"/>
          <w:color w:val="auto"/>
        </w:rPr>
      </w:pPr>
    </w:p>
    <w:tbl>
      <w:tblPr>
        <w:tblLayout w:type="fixed"/>
        <w:tblInd w:w="4560" w:type="dxa"/>
        <w:tblCellMar>
          <w:top w:w="0" w:type="dxa"/>
          <w:left w:w="0" w:type="dxa"/>
          <w:bottom w:w="0" w:type="dxa"/>
          <w:right w:w="0" w:type="dxa"/>
        </w:tblCellMar>
      </w:tblPr>
      <w:tr>
        <w:trPr>
          <w:trHeight w:val="252"/>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Borders>
              <w:top w:val="single" w:sz="8" w:color="auto"/>
            </w:tcBorders>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760" w:type="dxa"/>
            <w:vAlign w:val="bottom"/>
          </w:tcPr>
          <w:p>
            <w:pPr>
              <w:spacing w:after="0"/>
              <w:rPr>
                <w:sz w:val="22"/>
                <w:szCs w:val="22"/>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76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00"/>
          </w:cols>
          <w:pgMar w:left="1440" w:top="1422" w:right="359" w:bottom="1440" w:gutter="0" w:footer="0" w:header="0"/>
        </w:sectPr>
      </w:pPr>
    </w:p>
    <w:bookmarkStart w:id="102" w:name="page103"/>
    <w:bookmarkEnd w:id="102"/>
    <w:p>
      <w:pPr>
        <w:ind w:left="4020"/>
        <w:spacing w:after="0"/>
        <w:rPr>
          <w:sz w:val="20"/>
          <w:szCs w:val="20"/>
          <w:color w:val="auto"/>
        </w:rPr>
      </w:pPr>
      <w:r>
        <w:rPr>
          <w:rFonts w:ascii="Arial" w:cs="Arial" w:eastAsia="Arial" w:hAnsi="Arial"/>
          <w:sz w:val="21"/>
          <w:szCs w:val="21"/>
          <w:color w:val="auto"/>
        </w:rPr>
        <w:t>COMPUTERSHARE TRUST COMPANY, N.A.,</w:t>
      </w:r>
    </w:p>
    <w:p>
      <w:pPr>
        <w:spacing w:after="0" w:line="26"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as agent for Wells Fargo Bank, National</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Association, as Trustee</w:t>
      </w:r>
    </w:p>
    <w:p>
      <w:pPr>
        <w:spacing w:after="0" w:line="281" w:lineRule="exact"/>
        <w:rPr>
          <w:sz w:val="20"/>
          <w:szCs w:val="20"/>
          <w:color w:val="auto"/>
        </w:rPr>
      </w:pPr>
    </w:p>
    <w:tbl>
      <w:tblPr>
        <w:tblLayout w:type="fixed"/>
        <w:tblInd w:w="402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1"/>
                <w:szCs w:val="21"/>
                <w:color w:val="auto"/>
              </w:rPr>
              <w:t>/s/ Belinda Coleman</w:t>
            </w:r>
          </w:p>
        </w:tc>
      </w:tr>
      <w:tr>
        <w:trPr>
          <w:trHeight w:val="250"/>
        </w:trPr>
        <w:tc>
          <w:tcPr>
            <w:tcW w:w="54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Name:</w:t>
            </w:r>
          </w:p>
        </w:tc>
        <w:tc>
          <w:tcPr>
            <w:tcW w:w="4780" w:type="dxa"/>
            <w:vAlign w:val="bottom"/>
          </w:tcPr>
          <w:p>
            <w:pPr>
              <w:ind w:left="180"/>
              <w:spacing w:after="0"/>
              <w:rPr>
                <w:sz w:val="20"/>
                <w:szCs w:val="20"/>
                <w:color w:val="auto"/>
              </w:rPr>
            </w:pPr>
            <w:r>
              <w:rPr>
                <w:rFonts w:ascii="Arial" w:cs="Arial" w:eastAsia="Arial" w:hAnsi="Arial"/>
                <w:sz w:val="21"/>
                <w:szCs w:val="21"/>
                <w:color w:val="auto"/>
              </w:rPr>
              <w:t>Belinda Coleman</w:t>
            </w:r>
          </w:p>
        </w:tc>
      </w:tr>
      <w:tr>
        <w:trPr>
          <w:trHeight w:val="268"/>
        </w:trPr>
        <w:tc>
          <w:tcPr>
            <w:tcW w:w="54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1"/>
                <w:szCs w:val="21"/>
                <w:color w:val="auto"/>
              </w:rPr>
              <w:t>Title:</w:t>
            </w:r>
          </w:p>
        </w:tc>
        <w:tc>
          <w:tcPr>
            <w:tcW w:w="4780" w:type="dxa"/>
            <w:vAlign w:val="bottom"/>
          </w:tcPr>
          <w:p>
            <w:pPr>
              <w:ind w:left="180"/>
              <w:spacing w:after="0"/>
              <w:rPr>
                <w:sz w:val="20"/>
                <w:szCs w:val="20"/>
                <w:color w:val="auto"/>
              </w:rPr>
            </w:pPr>
            <w:r>
              <w:rPr>
                <w:rFonts w:ascii="Arial" w:cs="Arial" w:eastAsia="Arial" w:hAnsi="Arial"/>
                <w:sz w:val="21"/>
                <w:szCs w:val="21"/>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00"/>
          </w:cols>
          <w:pgMar w:left="1440" w:top="1422"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b w:val="1"/>
          <w:bCs w:val="1"/>
          <w:color w:val="auto"/>
        </w:rPr>
        <w:t>EXHIBIT 4.5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SUPPLEMENTAL INDENTURE</w:t>
      </w:r>
    </w:p>
    <w:p>
      <w:pPr>
        <w:spacing w:after="0" w:line="199" w:lineRule="exact"/>
        <w:rPr>
          <w:sz w:val="20"/>
          <w:szCs w:val="20"/>
          <w:color w:val="auto"/>
        </w:rPr>
      </w:pPr>
    </w:p>
    <w:p>
      <w:pPr>
        <w:jc w:val="both"/>
        <w:ind w:firstLine="632"/>
        <w:spacing w:after="0" w:line="249" w:lineRule="auto"/>
        <w:rPr>
          <w:sz w:val="20"/>
          <w:szCs w:val="20"/>
          <w:color w:val="auto"/>
        </w:rPr>
      </w:pPr>
      <w:r>
        <w:rPr>
          <w:rFonts w:ascii="Arial" w:cs="Arial" w:eastAsia="Arial" w:hAnsi="Arial"/>
          <w:sz w:val="19"/>
          <w:szCs w:val="19"/>
          <w:color w:val="auto"/>
        </w:rPr>
        <w:t>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December 22, 2021, among Rattler Holdings LLC, a Delaware limited liability company (the “</w:t>
      </w:r>
      <w:r>
        <w:rPr>
          <w:rFonts w:ascii="Arial" w:cs="Arial" w:eastAsia="Arial" w:hAnsi="Arial"/>
          <w:sz w:val="19"/>
          <w:szCs w:val="19"/>
          <w:i w:val="1"/>
          <w:iCs w:val="1"/>
          <w:color w:val="auto"/>
        </w:rPr>
        <w:t>Guaranteeing Subsidiary</w:t>
      </w:r>
      <w:r>
        <w:rPr>
          <w:rFonts w:ascii="Arial" w:cs="Arial" w:eastAsia="Arial" w:hAnsi="Arial"/>
          <w:sz w:val="19"/>
          <w:szCs w:val="19"/>
          <w:color w:val="auto"/>
        </w:rPr>
        <w:t>”), a subsidiary of Rattler Midstream LP (or its permitted successor), a Delaware limited partnership (the “</w:t>
      </w:r>
      <w:r>
        <w:rPr>
          <w:rFonts w:ascii="Arial" w:cs="Arial" w:eastAsia="Arial" w:hAnsi="Arial"/>
          <w:sz w:val="19"/>
          <w:szCs w:val="19"/>
          <w:i w:val="1"/>
          <w:iCs w:val="1"/>
          <w:color w:val="auto"/>
        </w:rPr>
        <w:t>Company</w:t>
      </w:r>
      <w:r>
        <w:rPr>
          <w:rFonts w:ascii="Arial" w:cs="Arial" w:eastAsia="Arial" w:hAnsi="Arial"/>
          <w:sz w:val="19"/>
          <w:szCs w:val="19"/>
          <w:color w:val="auto"/>
        </w:rPr>
        <w:t>”), the Company, the other Guarantors (as defined in the Indenture referred to herein) and Wells Fargo Bank, National Association, as trustee under the Indenture referred to below (the “</w:t>
      </w:r>
      <w:r>
        <w:rPr>
          <w:rFonts w:ascii="Arial" w:cs="Arial" w:eastAsia="Arial" w:hAnsi="Arial"/>
          <w:sz w:val="19"/>
          <w:szCs w:val="19"/>
          <w:i w:val="1"/>
          <w:iCs w:val="1"/>
          <w:color w:val="auto"/>
        </w:rPr>
        <w:t>Trustee</w:t>
      </w:r>
      <w:r>
        <w:rPr>
          <w:rFonts w:ascii="Arial" w:cs="Arial" w:eastAsia="Arial" w:hAnsi="Arial"/>
          <w:sz w:val="19"/>
          <w:szCs w:val="19"/>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 I T N E S S E T H</w:t>
      </w:r>
    </w:p>
    <w:p>
      <w:pPr>
        <w:spacing w:after="0" w:line="172"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WHEREAS, the Company has heretofore executed and delivered to the Trustee an indenture (as such may be amended and supplemented from time to time, the “</w:t>
      </w:r>
      <w:r>
        <w:rPr>
          <w:rFonts w:ascii="Arial" w:cs="Arial" w:eastAsia="Arial" w:hAnsi="Arial"/>
          <w:sz w:val="21"/>
          <w:szCs w:val="21"/>
          <w:i w:val="1"/>
          <w:iCs w:val="1"/>
          <w:color w:val="auto"/>
        </w:rPr>
        <w:t>Indenture</w:t>
      </w:r>
      <w:r>
        <w:rPr>
          <w:rFonts w:ascii="Arial" w:cs="Arial" w:eastAsia="Arial" w:hAnsi="Arial"/>
          <w:sz w:val="21"/>
          <w:szCs w:val="21"/>
          <w:color w:val="auto"/>
        </w:rPr>
        <w:t>”), dated as of July 14, 2020 providing for the issuance of 5.625% Senior Notes due 2025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155" w:lineRule="exact"/>
        <w:rPr>
          <w:sz w:val="20"/>
          <w:szCs w:val="20"/>
          <w:color w:val="auto"/>
        </w:rPr>
      </w:pPr>
    </w:p>
    <w:p>
      <w:pPr>
        <w:jc w:val="both"/>
        <w:ind w:firstLine="632"/>
        <w:spacing w:after="0" w:line="258"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WHEREAS, pursuant to Section 9.01 of the Indenture, the Trustee is authorized to execute and deliver this Supplemental Indenture.</w:t>
      </w:r>
    </w:p>
    <w:p>
      <w:pPr>
        <w:spacing w:after="0" w:line="155"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55" w:lineRule="exact"/>
        <w:rPr>
          <w:sz w:val="20"/>
          <w:szCs w:val="20"/>
          <w:color w:val="auto"/>
        </w:rPr>
      </w:pPr>
    </w:p>
    <w:p>
      <w:pPr>
        <w:ind w:firstLine="638"/>
        <w:spacing w:after="0" w:line="237" w:lineRule="auto"/>
        <w:tabs>
          <w:tab w:leader="none" w:pos="1036" w:val="left"/>
        </w:tabs>
        <w:numPr>
          <w:ilvl w:val="0"/>
          <w:numId w:val="38"/>
        </w:numPr>
        <w:rPr>
          <w:rFonts w:ascii="Arial" w:cs="Arial" w:eastAsia="Arial" w:hAnsi="Arial"/>
          <w:sz w:val="21"/>
          <w:szCs w:val="21"/>
          <w:color w:val="auto"/>
        </w:rPr>
      </w:pPr>
      <w:r>
        <w:rPr>
          <w:rFonts w:ascii="Arial" w:cs="Arial" w:eastAsia="Arial" w:hAnsi="Arial"/>
          <w:sz w:val="21"/>
          <w:szCs w:val="21"/>
          <w:color w:val="auto"/>
        </w:rPr>
        <w:t>CAPITALIZED TERMS. Capitalized terms used herein without definition shall have the meanings assigned to them in the Indenture.</w:t>
      </w:r>
    </w:p>
    <w:p>
      <w:pPr>
        <w:spacing w:after="0" w:line="155" w:lineRule="exact"/>
        <w:rPr>
          <w:rFonts w:ascii="Arial" w:cs="Arial" w:eastAsia="Arial" w:hAnsi="Arial"/>
          <w:sz w:val="21"/>
          <w:szCs w:val="21"/>
          <w:color w:val="auto"/>
        </w:rPr>
      </w:pPr>
    </w:p>
    <w:p>
      <w:pPr>
        <w:jc w:val="both"/>
        <w:ind w:firstLine="638"/>
        <w:spacing w:after="0" w:line="226" w:lineRule="auto"/>
        <w:tabs>
          <w:tab w:leader="none" w:pos="1102"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8" w:lineRule="exact"/>
        <w:rPr>
          <w:rFonts w:ascii="Arial" w:cs="Arial" w:eastAsia="Arial" w:hAnsi="Arial"/>
          <w:sz w:val="20"/>
          <w:szCs w:val="20"/>
          <w:color w:val="auto"/>
        </w:rPr>
      </w:pPr>
    </w:p>
    <w:p>
      <w:pPr>
        <w:jc w:val="both"/>
        <w:ind w:firstLine="638"/>
        <w:spacing w:after="0" w:line="220" w:lineRule="auto"/>
        <w:tabs>
          <w:tab w:leader="none" w:pos="1047" w:val="left"/>
        </w:tabs>
        <w:numPr>
          <w:ilvl w:val="0"/>
          <w:numId w:val="38"/>
        </w:numPr>
        <w:rPr>
          <w:rFonts w:ascii="Arial" w:cs="Arial" w:eastAsia="Arial" w:hAnsi="Arial"/>
          <w:sz w:val="21"/>
          <w:szCs w:val="21"/>
          <w:color w:val="auto"/>
        </w:rPr>
      </w:pPr>
      <w:r>
        <w:rPr>
          <w:rFonts w:ascii="Arial" w:cs="Arial" w:eastAsia="Arial" w:hAnsi="Arial"/>
          <w:sz w:val="21"/>
          <w:szCs w:val="21"/>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240"/>
          </w:cols>
          <w:pgMar w:left="320" w:top="1364" w:right="339" w:bottom="1440" w:gutter="0" w:footer="0" w:header="0"/>
        </w:sectPr>
      </w:pPr>
    </w:p>
    <w:bookmarkStart w:id="104" w:name="page105"/>
    <w:bookmarkEnd w:id="104"/>
    <w:p>
      <w:pPr>
        <w:jc w:val="both"/>
        <w:ind w:firstLine="638"/>
        <w:spacing w:after="0" w:line="223" w:lineRule="auto"/>
        <w:tabs>
          <w:tab w:leader="none" w:pos="1013" w:val="left"/>
        </w:tabs>
        <w:numPr>
          <w:ilvl w:val="0"/>
          <w:numId w:val="39"/>
        </w:numPr>
        <w:rPr>
          <w:rFonts w:ascii="Arial" w:cs="Arial" w:eastAsia="Arial" w:hAnsi="Arial"/>
          <w:sz w:val="21"/>
          <w:szCs w:val="21"/>
          <w:color w:val="auto"/>
        </w:rPr>
      </w:pPr>
      <w:r>
        <w:rPr>
          <w:rFonts w:ascii="Arial" w:cs="Arial" w:eastAsia="Arial" w:hAnsi="Arial"/>
          <w:sz w:val="21"/>
          <w:szCs w:val="21"/>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56" w:lineRule="exact"/>
        <w:rPr>
          <w:rFonts w:ascii="Arial" w:cs="Arial" w:eastAsia="Arial" w:hAnsi="Arial"/>
          <w:sz w:val="21"/>
          <w:szCs w:val="21"/>
          <w:color w:val="auto"/>
        </w:rPr>
      </w:pPr>
    </w:p>
    <w:p>
      <w:pPr>
        <w:jc w:val="both"/>
        <w:ind w:firstLine="638"/>
        <w:spacing w:after="0" w:line="245" w:lineRule="auto"/>
        <w:tabs>
          <w:tab w:leader="none" w:pos="1033"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(“PDF”)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49" w:lineRule="exact"/>
        <w:rPr>
          <w:rFonts w:ascii="Arial" w:cs="Arial" w:eastAsia="Arial" w:hAnsi="Arial"/>
          <w:sz w:val="19"/>
          <w:szCs w:val="19"/>
          <w:color w:val="auto"/>
        </w:rPr>
      </w:pPr>
    </w:p>
    <w:p>
      <w:pPr>
        <w:ind w:left="1060" w:hanging="422"/>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hereof.</w:t>
      </w:r>
    </w:p>
    <w:p>
      <w:pPr>
        <w:spacing w:after="0" w:line="162" w:lineRule="exact"/>
        <w:rPr>
          <w:rFonts w:ascii="Arial" w:cs="Arial" w:eastAsia="Arial" w:hAnsi="Arial"/>
          <w:sz w:val="19"/>
          <w:szCs w:val="19"/>
          <w:color w:val="auto"/>
        </w:rPr>
      </w:pPr>
    </w:p>
    <w:p>
      <w:pPr>
        <w:jc w:val="both"/>
        <w:ind w:firstLine="638"/>
        <w:spacing w:after="0" w:line="218" w:lineRule="auto"/>
        <w:tabs>
          <w:tab w:leader="none" w:pos="1094"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 This document is provided by Computershare Trust Company, N.A., or one or more of its affiliates (collectively, “</w:t>
      </w:r>
      <w:r>
        <w:rPr>
          <w:rFonts w:ascii="Arial" w:cs="Arial" w:eastAsia="Arial" w:hAnsi="Arial"/>
          <w:sz w:val="21"/>
          <w:szCs w:val="21"/>
          <w:i w:val="1"/>
          <w:iCs w:val="1"/>
          <w:color w:val="auto"/>
        </w:rPr>
        <w:t>Computershare</w:t>
      </w:r>
      <w:r>
        <w:rPr>
          <w:rFonts w:ascii="Arial" w:cs="Arial" w:eastAsia="Arial" w:hAnsi="Arial"/>
          <w:sz w:val="21"/>
          <w:szCs w:val="21"/>
          <w:color w:val="auto"/>
        </w:rPr>
        <w:t>”), in its named capacity or as agent of or successor to the Trustee, or one or more of its affiliates, by virtue of the acquisition by Computershare of substantially all the assets of the corporate trust services business of the Trustee.</w:t>
      </w:r>
    </w:p>
    <w:p>
      <w:pPr>
        <w:sectPr>
          <w:pgSz w:w="11900" w:h="16838" w:orient="portrait"/>
          <w:cols w:equalWidth="0" w:num="1">
            <w:col w:w="11240"/>
          </w:cols>
          <w:pgMar w:left="320" w:top="1370" w:right="339" w:bottom="1440" w:gutter="0" w:footer="0" w:header="0"/>
        </w:sectPr>
      </w:pPr>
    </w:p>
    <w:bookmarkStart w:id="105" w:name="page106"/>
    <w:bookmarkEnd w:id="105"/>
    <w:p>
      <w:pPr>
        <w:ind w:firstLine="632"/>
        <w:spacing w:after="0" w:line="237"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all as of the date first above written.</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GUARANTEEING SUBSIDIARY</w:t>
      </w:r>
    </w:p>
    <w:p>
      <w:pPr>
        <w:spacing w:after="0" w:line="272"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HOLDINGS LLC</w:t>
      </w:r>
    </w:p>
    <w:p>
      <w:pPr>
        <w:spacing w:after="0" w:line="200" w:lineRule="exact"/>
        <w:rPr>
          <w:sz w:val="20"/>
          <w:szCs w:val="20"/>
          <w:color w:val="auto"/>
        </w:rPr>
      </w:pPr>
    </w:p>
    <w:p>
      <w:pPr>
        <w:spacing w:after="0" w:line="323" w:lineRule="exact"/>
        <w:rPr>
          <w:sz w:val="20"/>
          <w:szCs w:val="20"/>
          <w:color w:val="auto"/>
        </w:rPr>
      </w:pPr>
    </w:p>
    <w:tbl>
      <w:tblPr>
        <w:tblLayout w:type="fixed"/>
        <w:tblInd w:w="514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Executive Vice President, Chief</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Financial Officer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40" w:lineRule="exact"/>
        <w:rPr>
          <w:sz w:val="20"/>
          <w:szCs w:val="20"/>
          <w:color w:val="auto"/>
        </w:rPr>
      </w:pPr>
    </w:p>
    <w:p>
      <w:pPr>
        <w:ind w:left="5140"/>
        <w:spacing w:after="0"/>
        <w:rPr>
          <w:sz w:val="20"/>
          <w:szCs w:val="20"/>
          <w:color w:val="auto"/>
        </w:rPr>
      </w:pPr>
      <w:r>
        <w:rPr>
          <w:rFonts w:ascii="Arial" w:cs="Arial" w:eastAsia="Arial" w:hAnsi="Arial"/>
          <w:sz w:val="21"/>
          <w:szCs w:val="21"/>
          <w:b w:val="1"/>
          <w:bCs w:val="1"/>
          <w:u w:val="single" w:color="auto"/>
          <w:color w:val="auto"/>
        </w:rPr>
        <w:t>COMPANY</w:t>
      </w:r>
    </w:p>
    <w:p>
      <w:pPr>
        <w:spacing w:after="0" w:line="278"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MIDSTREAM LP</w:t>
      </w:r>
    </w:p>
    <w:p>
      <w:pPr>
        <w:spacing w:after="0" w:line="26" w:lineRule="exact"/>
        <w:rPr>
          <w:sz w:val="20"/>
          <w:szCs w:val="20"/>
          <w:color w:val="auto"/>
        </w:rPr>
      </w:pPr>
    </w:p>
    <w:p>
      <w:pPr>
        <w:ind w:left="5140"/>
        <w:spacing w:after="0"/>
        <w:tabs>
          <w:tab w:leader="none" w:pos="5660" w:val="left"/>
        </w:tabs>
        <w:rPr>
          <w:sz w:val="20"/>
          <w:szCs w:val="20"/>
          <w:color w:val="auto"/>
        </w:rPr>
      </w:pPr>
      <w:r>
        <w:rPr>
          <w:rFonts w:ascii="Arial" w:cs="Arial" w:eastAsia="Arial" w:hAnsi="Arial"/>
          <w:sz w:val="21"/>
          <w:szCs w:val="21"/>
          <w:color w:val="auto"/>
        </w:rPr>
        <w:t>By:</w:t>
        <w:tab/>
        <w:t>Rattler Midstream GP LLC,</w:t>
      </w:r>
    </w:p>
    <w:p>
      <w:pPr>
        <w:spacing w:after="0" w:line="22" w:lineRule="exact"/>
        <w:rPr>
          <w:sz w:val="20"/>
          <w:szCs w:val="20"/>
          <w:color w:val="auto"/>
        </w:rPr>
      </w:pPr>
    </w:p>
    <w:tbl>
      <w:tblPr>
        <w:tblLayout w:type="fixed"/>
        <w:tblInd w:w="5140" w:type="dxa"/>
        <w:tblCellMar>
          <w:top w:w="0" w:type="dxa"/>
          <w:left w:w="0" w:type="dxa"/>
          <w:bottom w:w="0" w:type="dxa"/>
          <w:right w:w="0" w:type="dxa"/>
        </w:tblCellMar>
      </w:tblPr>
      <w:tr>
        <w:trPr>
          <w:trHeight w:val="268"/>
        </w:trPr>
        <w:tc>
          <w:tcPr>
            <w:tcW w:w="54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21"/>
                <w:szCs w:val="21"/>
                <w:color w:val="auto"/>
              </w:rPr>
              <w:t>its general partner</w:t>
            </w:r>
          </w:p>
        </w:tc>
      </w:tr>
      <w:tr>
        <w:trPr>
          <w:trHeight w:val="511"/>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3" w:lineRule="exact"/>
        <w:rPr>
          <w:sz w:val="20"/>
          <w:szCs w:val="20"/>
          <w:color w:val="auto"/>
        </w:rPr>
      </w:pPr>
    </w:p>
    <w:p>
      <w:pPr>
        <w:ind w:left="5140"/>
        <w:spacing w:after="0"/>
        <w:rPr>
          <w:sz w:val="20"/>
          <w:szCs w:val="20"/>
          <w:color w:val="auto"/>
        </w:rPr>
      </w:pPr>
      <w:r>
        <w:rPr>
          <w:rFonts w:ascii="Arial" w:cs="Arial" w:eastAsia="Arial" w:hAnsi="Arial"/>
          <w:sz w:val="21"/>
          <w:szCs w:val="21"/>
          <w:b w:val="1"/>
          <w:bCs w:val="1"/>
          <w:u w:val="single" w:color="auto"/>
          <w:color w:val="auto"/>
        </w:rPr>
        <w:t>GUARANTORS</w:t>
      </w:r>
    </w:p>
    <w:p>
      <w:pPr>
        <w:spacing w:after="0" w:line="291"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RATTLER MIDSTREAM OPERATING LLC</w:t>
      </w:r>
    </w:p>
    <w:p>
      <w:pPr>
        <w:spacing w:after="0" w:line="285" w:lineRule="exact"/>
        <w:rPr>
          <w:sz w:val="20"/>
          <w:szCs w:val="20"/>
          <w:color w:val="auto"/>
        </w:rPr>
      </w:pPr>
    </w:p>
    <w:tbl>
      <w:tblPr>
        <w:tblLayout w:type="fixed"/>
        <w:tblInd w:w="514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r>
        <w:trPr>
          <w:trHeight w:val="527"/>
        </w:trPr>
        <w:tc>
          <w:tcPr>
            <w:tcW w:w="6100" w:type="dxa"/>
            <w:vAlign w:val="bottom"/>
            <w:gridSpan w:val="3"/>
          </w:tcPr>
          <w:p>
            <w:pPr>
              <w:spacing w:after="0"/>
              <w:rPr>
                <w:sz w:val="20"/>
                <w:szCs w:val="20"/>
                <w:color w:val="auto"/>
              </w:rPr>
            </w:pPr>
            <w:r>
              <w:rPr>
                <w:rFonts w:ascii="Arial" w:cs="Arial" w:eastAsia="Arial" w:hAnsi="Arial"/>
                <w:sz w:val="21"/>
                <w:szCs w:val="21"/>
                <w:color w:val="auto"/>
              </w:rPr>
              <w:t>TALL CITY TOWERS LLC</w:t>
            </w:r>
          </w:p>
        </w:tc>
      </w:tr>
      <w:tr>
        <w:trPr>
          <w:trHeight w:val="529"/>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00" w:lineRule="exact"/>
        <w:rPr>
          <w:sz w:val="20"/>
          <w:szCs w:val="20"/>
          <w:color w:val="auto"/>
        </w:rPr>
      </w:pPr>
    </w:p>
    <w:p>
      <w:pPr>
        <w:sectPr>
          <w:pgSz w:w="11900" w:h="16838" w:orient="portrait"/>
          <w:cols w:equalWidth="0" w:num="1">
            <w:col w:w="11240"/>
          </w:cols>
          <w:pgMar w:left="320" w:top="1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Supplemental Indenture</w:t>
      </w:r>
    </w:p>
    <w:p>
      <w:pPr>
        <w:sectPr>
          <w:pgSz w:w="11900" w:h="16838" w:orient="portrait"/>
          <w:cols w:equalWidth="0" w:num="1">
            <w:col w:w="11240"/>
          </w:cols>
          <w:pgMar w:left="320" w:top="1370" w:right="339" w:bottom="1440" w:gutter="0" w:footer="0" w:header="0"/>
          <w:type w:val="continuous"/>
        </w:sectPr>
      </w:pPr>
    </w:p>
    <w:bookmarkStart w:id="106" w:name="page107"/>
    <w:bookmarkEnd w:id="106"/>
    <w:p>
      <w:pPr>
        <w:ind w:left="4020"/>
        <w:spacing w:after="0"/>
        <w:rPr>
          <w:sz w:val="20"/>
          <w:szCs w:val="20"/>
          <w:color w:val="auto"/>
        </w:rPr>
      </w:pPr>
      <w:r>
        <w:rPr>
          <w:rFonts w:ascii="Arial" w:cs="Arial" w:eastAsia="Arial" w:hAnsi="Arial"/>
          <w:sz w:val="21"/>
          <w:szCs w:val="21"/>
          <w:color w:val="auto"/>
        </w:rPr>
        <w:t>RATTLER OMOG LLC</w:t>
      </w:r>
    </w:p>
    <w:p>
      <w:pPr>
        <w:spacing w:after="0" w:line="26" w:lineRule="exact"/>
        <w:rPr>
          <w:sz w:val="20"/>
          <w:szCs w:val="20"/>
          <w:color w:val="auto"/>
        </w:rPr>
      </w:pPr>
    </w:p>
    <w:p>
      <w:pPr>
        <w:ind w:left="4020"/>
        <w:spacing w:after="0"/>
        <w:tabs>
          <w:tab w:leader="none" w:pos="454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its sole member</w:t>
      </w:r>
    </w:p>
    <w:p>
      <w:pPr>
        <w:spacing w:after="0" w:line="281" w:lineRule="exact"/>
        <w:rPr>
          <w:sz w:val="20"/>
          <w:szCs w:val="20"/>
          <w:color w:val="auto"/>
        </w:rPr>
      </w:pPr>
    </w:p>
    <w:tbl>
      <w:tblPr>
        <w:tblLayout w:type="fixed"/>
        <w:tblInd w:w="402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RATTLER AJAX PROCESSING LLC</w:t>
      </w:r>
    </w:p>
    <w:p>
      <w:pPr>
        <w:spacing w:after="0" w:line="26" w:lineRule="exact"/>
        <w:rPr>
          <w:sz w:val="20"/>
          <w:szCs w:val="20"/>
          <w:color w:val="auto"/>
        </w:rPr>
      </w:pPr>
    </w:p>
    <w:p>
      <w:pPr>
        <w:ind w:left="4020"/>
        <w:spacing w:after="0"/>
        <w:tabs>
          <w:tab w:leader="none" w:pos="454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jc w:val="center"/>
        <w:ind w:left="1460"/>
        <w:spacing w:after="0"/>
        <w:rPr>
          <w:sz w:val="20"/>
          <w:szCs w:val="20"/>
          <w:color w:val="auto"/>
        </w:rPr>
      </w:pPr>
      <w:r>
        <w:rPr>
          <w:rFonts w:ascii="Arial" w:cs="Arial" w:eastAsia="Arial" w:hAnsi="Arial"/>
          <w:sz w:val="21"/>
          <w:szCs w:val="21"/>
          <w:color w:val="auto"/>
        </w:rPr>
        <w:t>its sole member</w:t>
      </w:r>
    </w:p>
    <w:p>
      <w:pPr>
        <w:spacing w:after="0" w:line="281" w:lineRule="exact"/>
        <w:rPr>
          <w:sz w:val="20"/>
          <w:szCs w:val="20"/>
          <w:color w:val="auto"/>
        </w:rPr>
      </w:pPr>
    </w:p>
    <w:tbl>
      <w:tblPr>
        <w:tblLayout w:type="fixed"/>
        <w:tblInd w:w="402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Teresa L. Dick</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5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RATTLER WTG LLC</w:t>
      </w:r>
    </w:p>
    <w:p>
      <w:pPr>
        <w:spacing w:after="0" w:line="26" w:lineRule="exact"/>
        <w:rPr>
          <w:sz w:val="20"/>
          <w:szCs w:val="20"/>
          <w:color w:val="auto"/>
        </w:rPr>
      </w:pPr>
    </w:p>
    <w:p>
      <w:pPr>
        <w:ind w:left="4020"/>
        <w:spacing w:after="0"/>
        <w:tabs>
          <w:tab w:leader="none" w:pos="4540" w:val="left"/>
        </w:tabs>
        <w:rPr>
          <w:sz w:val="20"/>
          <w:szCs w:val="20"/>
          <w:color w:val="auto"/>
        </w:rPr>
      </w:pPr>
      <w:r>
        <w:rPr>
          <w:rFonts w:ascii="Arial" w:cs="Arial" w:eastAsia="Arial" w:hAnsi="Arial"/>
          <w:sz w:val="21"/>
          <w:szCs w:val="21"/>
          <w:color w:val="auto"/>
        </w:rPr>
        <w:t>By:</w:t>
        <w:tab/>
        <w:t>Rattler Midstream Operating LLC,</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its sole member</w:t>
      </w:r>
    </w:p>
    <w:p>
      <w:pPr>
        <w:spacing w:after="0" w:line="281" w:lineRule="exact"/>
        <w:rPr>
          <w:sz w:val="20"/>
          <w:szCs w:val="20"/>
          <w:color w:val="auto"/>
        </w:rPr>
      </w:pPr>
    </w:p>
    <w:p>
      <w:pPr>
        <w:jc w:val="center"/>
        <w:ind w:left="2060"/>
        <w:spacing w:after="0"/>
        <w:tabs>
          <w:tab w:leader="none" w:pos="220" w:val="left"/>
        </w:tabs>
        <w:rPr>
          <w:sz w:val="20"/>
          <w:szCs w:val="20"/>
          <w:color w:val="auto"/>
        </w:rPr>
      </w:pPr>
      <w:r>
        <w:rPr>
          <w:rFonts w:ascii="Arial" w:cs="Arial" w:eastAsia="Arial" w:hAnsi="Arial"/>
          <w:sz w:val="21"/>
          <w:szCs w:val="21"/>
          <w:color w:val="auto"/>
        </w:rPr>
        <w:t>By:</w:t>
        <w:tab/>
        <w:t>/s/ Teresa L. Dick</w:t>
      </w:r>
    </w:p>
    <w:p>
      <w:pPr>
        <w:spacing w:after="0" w:line="26" w:lineRule="exact"/>
        <w:rPr>
          <w:sz w:val="20"/>
          <w:szCs w:val="20"/>
          <w:color w:val="auto"/>
        </w:rPr>
      </w:pPr>
    </w:p>
    <w:tbl>
      <w:tblPr>
        <w:tblLayout w:type="fixed"/>
        <w:tblInd w:w="4560" w:type="dxa"/>
        <w:tblCellMar>
          <w:top w:w="0" w:type="dxa"/>
          <w:left w:w="0" w:type="dxa"/>
          <w:bottom w:w="0" w:type="dxa"/>
          <w:right w:w="0" w:type="dxa"/>
        </w:tblCellMar>
      </w:tblPr>
      <w:tr>
        <w:trPr>
          <w:trHeight w:val="252"/>
        </w:trPr>
        <w:tc>
          <w:tcPr>
            <w:tcW w:w="7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Name:</w:t>
            </w:r>
          </w:p>
        </w:tc>
        <w:tc>
          <w:tcPr>
            <w:tcW w:w="4820" w:type="dxa"/>
            <w:vAlign w:val="bottom"/>
            <w:tcBorders>
              <w:top w:val="single" w:sz="8" w:color="auto"/>
            </w:tcBorders>
          </w:tcPr>
          <w:p>
            <w:pPr>
              <w:ind w:left="180"/>
              <w:spacing w:after="0"/>
              <w:rPr>
                <w:sz w:val="20"/>
                <w:szCs w:val="20"/>
                <w:color w:val="auto"/>
              </w:rPr>
            </w:pPr>
            <w:r>
              <w:rPr>
                <w:rFonts w:ascii="Arial" w:cs="Arial" w:eastAsia="Arial" w:hAnsi="Arial"/>
                <w:sz w:val="21"/>
                <w:szCs w:val="21"/>
                <w:color w:val="auto"/>
              </w:rPr>
              <w:t>Teresa L. Dick</w:t>
            </w:r>
          </w:p>
        </w:tc>
      </w:tr>
      <w:tr>
        <w:trPr>
          <w:trHeight w:val="263"/>
        </w:trPr>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Chief Financial Officer, Executive</w:t>
            </w:r>
          </w:p>
        </w:tc>
      </w:tr>
      <w:tr>
        <w:trPr>
          <w:trHeight w:val="263"/>
        </w:trPr>
        <w:tc>
          <w:tcPr>
            <w:tcW w:w="74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Vice President, and Assistant</w:t>
            </w:r>
          </w:p>
        </w:tc>
      </w:tr>
      <w:tr>
        <w:trPr>
          <w:trHeight w:val="268"/>
        </w:trPr>
        <w:tc>
          <w:tcPr>
            <w:tcW w:w="74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21"/>
                <w:szCs w:val="21"/>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07" w:name="page108"/>
    <w:bookmarkEnd w:id="107"/>
    <w:p>
      <w:pPr>
        <w:ind w:left="4020"/>
        <w:spacing w:after="0"/>
        <w:rPr>
          <w:sz w:val="20"/>
          <w:szCs w:val="20"/>
          <w:color w:val="auto"/>
        </w:rPr>
      </w:pPr>
      <w:r>
        <w:rPr>
          <w:rFonts w:ascii="Arial" w:cs="Arial" w:eastAsia="Arial" w:hAnsi="Arial"/>
          <w:sz w:val="21"/>
          <w:szCs w:val="21"/>
          <w:color w:val="auto"/>
        </w:rPr>
        <w:t>COMPUTERSHARE TRUST COMPANY, N.A.,</w:t>
      </w:r>
    </w:p>
    <w:p>
      <w:pPr>
        <w:spacing w:after="0" w:line="26"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as agent for Wells Fargo Bank, National</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Association, as Trustee</w:t>
      </w:r>
    </w:p>
    <w:p>
      <w:pPr>
        <w:spacing w:after="0" w:line="281" w:lineRule="exact"/>
        <w:rPr>
          <w:sz w:val="20"/>
          <w:szCs w:val="20"/>
          <w:color w:val="auto"/>
        </w:rPr>
      </w:pPr>
    </w:p>
    <w:tbl>
      <w:tblPr>
        <w:tblLayout w:type="fixed"/>
        <w:tblInd w:w="4020" w:type="dxa"/>
        <w:tblCellMar>
          <w:top w:w="0" w:type="dxa"/>
          <w:left w:w="0" w:type="dxa"/>
          <w:bottom w:w="0" w:type="dxa"/>
          <w:right w:w="0" w:type="dxa"/>
        </w:tblCellMar>
      </w:tblPr>
      <w:tr>
        <w:trPr>
          <w:trHeight w:val="270"/>
        </w:trPr>
        <w:tc>
          <w:tcPr>
            <w:tcW w:w="540" w:type="dxa"/>
            <w:vAlign w:val="bottom"/>
          </w:tcPr>
          <w:p>
            <w:pPr>
              <w:spacing w:after="0"/>
              <w:rPr>
                <w:sz w:val="20"/>
                <w:szCs w:val="20"/>
                <w:color w:val="auto"/>
              </w:rPr>
            </w:pPr>
            <w:r>
              <w:rPr>
                <w:rFonts w:ascii="Arial" w:cs="Arial" w:eastAsia="Arial" w:hAnsi="Arial"/>
                <w:sz w:val="21"/>
                <w:szCs w:val="21"/>
                <w:color w:val="auto"/>
              </w:rPr>
              <w:t>By:</w:t>
            </w:r>
          </w:p>
        </w:tc>
        <w:tc>
          <w:tcPr>
            <w:tcW w:w="5560" w:type="dxa"/>
            <w:vAlign w:val="bottom"/>
            <w:tcBorders>
              <w:bottom w:val="single" w:sz="8" w:color="auto"/>
            </w:tcBorders>
            <w:gridSpan w:val="2"/>
          </w:tcPr>
          <w:p>
            <w:pPr>
              <w:ind w:left="160"/>
              <w:spacing w:after="0"/>
              <w:rPr>
                <w:sz w:val="20"/>
                <w:szCs w:val="20"/>
                <w:color w:val="auto"/>
              </w:rPr>
            </w:pPr>
            <w:r>
              <w:rPr>
                <w:rFonts w:ascii="Arial" w:cs="Arial" w:eastAsia="Arial" w:hAnsi="Arial"/>
                <w:sz w:val="21"/>
                <w:szCs w:val="21"/>
                <w:color w:val="auto"/>
              </w:rPr>
              <w:t>/s/ Erik R. Starkman</w:t>
            </w:r>
          </w:p>
        </w:tc>
      </w:tr>
      <w:tr>
        <w:trPr>
          <w:trHeight w:val="250"/>
        </w:trPr>
        <w:tc>
          <w:tcPr>
            <w:tcW w:w="5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Name:</w:t>
            </w:r>
          </w:p>
        </w:tc>
        <w:tc>
          <w:tcPr>
            <w:tcW w:w="4820" w:type="dxa"/>
            <w:vAlign w:val="bottom"/>
          </w:tcPr>
          <w:p>
            <w:pPr>
              <w:ind w:left="180"/>
              <w:spacing w:after="0"/>
              <w:rPr>
                <w:sz w:val="20"/>
                <w:szCs w:val="20"/>
                <w:color w:val="auto"/>
              </w:rPr>
            </w:pPr>
            <w:r>
              <w:rPr>
                <w:rFonts w:ascii="Arial" w:cs="Arial" w:eastAsia="Arial" w:hAnsi="Arial"/>
                <w:sz w:val="21"/>
                <w:szCs w:val="21"/>
                <w:color w:val="auto"/>
              </w:rPr>
              <w:t>Erik R. Starkman</w:t>
            </w:r>
          </w:p>
        </w:tc>
      </w:tr>
      <w:tr>
        <w:trPr>
          <w:trHeight w:val="268"/>
        </w:trPr>
        <w:tc>
          <w:tcPr>
            <w:tcW w:w="54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Arial" w:cs="Arial" w:eastAsia="Arial" w:hAnsi="Arial"/>
                <w:sz w:val="21"/>
                <w:szCs w:val="21"/>
                <w:color w:val="auto"/>
              </w:rPr>
              <w:t>Title:</w:t>
            </w:r>
          </w:p>
        </w:tc>
        <w:tc>
          <w:tcPr>
            <w:tcW w:w="4820" w:type="dxa"/>
            <w:vAlign w:val="bottom"/>
          </w:tcPr>
          <w:p>
            <w:pPr>
              <w:ind w:left="180"/>
              <w:spacing w:after="0"/>
              <w:rPr>
                <w:sz w:val="20"/>
                <w:szCs w:val="20"/>
                <w:color w:val="auto"/>
              </w:rPr>
            </w:pPr>
            <w:r>
              <w:rPr>
                <w:rFonts w:ascii="Arial" w:cs="Arial" w:eastAsia="Arial" w:hAnsi="Arial"/>
                <w:sz w:val="21"/>
                <w:szCs w:val="21"/>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1"/>
        </w:trPr>
        <w:tc>
          <w:tcPr>
            <w:tcW w:w="3540" w:type="dxa"/>
            <w:vAlign w:val="bottom"/>
          </w:tcPr>
          <w:p>
            <w:pPr>
              <w:spacing w:after="0"/>
              <w:rPr>
                <w:sz w:val="18"/>
                <w:szCs w:val="18"/>
                <w:color w:val="auto"/>
              </w:rPr>
            </w:pPr>
          </w:p>
        </w:tc>
        <w:tc>
          <w:tcPr>
            <w:tcW w:w="7700" w:type="dxa"/>
            <w:vAlign w:val="bottom"/>
            <w:gridSpan w:val="2"/>
          </w:tcPr>
          <w:p>
            <w:pPr>
              <w:ind w:left="6800"/>
              <w:spacing w:after="0"/>
              <w:rPr>
                <w:sz w:val="20"/>
                <w:szCs w:val="20"/>
                <w:color w:val="auto"/>
              </w:rPr>
            </w:pPr>
            <w:r>
              <w:rPr>
                <w:rFonts w:ascii="Arial" w:cs="Arial" w:eastAsia="Arial" w:hAnsi="Arial"/>
                <w:sz w:val="18"/>
                <w:szCs w:val="18"/>
                <w:b w:val="1"/>
                <w:bCs w:val="1"/>
                <w:color w:val="auto"/>
                <w:w w:val="87"/>
              </w:rPr>
              <w:t>Exhibit 21.1</w:t>
            </w:r>
          </w:p>
        </w:tc>
      </w:tr>
      <w:tr>
        <w:trPr>
          <w:trHeight w:val="211"/>
        </w:trPr>
        <w:tc>
          <w:tcPr>
            <w:tcW w:w="3540" w:type="dxa"/>
            <w:vAlign w:val="bottom"/>
          </w:tcPr>
          <w:p>
            <w:pPr>
              <w:spacing w:after="0"/>
              <w:rPr>
                <w:sz w:val="18"/>
                <w:szCs w:val="18"/>
                <w:color w:val="auto"/>
              </w:rPr>
            </w:pPr>
          </w:p>
        </w:tc>
        <w:tc>
          <w:tcPr>
            <w:tcW w:w="7700" w:type="dxa"/>
            <w:vAlign w:val="bottom"/>
            <w:gridSpan w:val="2"/>
          </w:tcPr>
          <w:p>
            <w:pPr>
              <w:jc w:val="center"/>
              <w:ind w:right="3540"/>
              <w:spacing w:after="0"/>
              <w:rPr>
                <w:sz w:val="20"/>
                <w:szCs w:val="20"/>
                <w:color w:val="auto"/>
              </w:rPr>
            </w:pPr>
            <w:r>
              <w:rPr>
                <w:rFonts w:ascii="Arial" w:cs="Arial" w:eastAsia="Arial" w:hAnsi="Arial"/>
                <w:sz w:val="18"/>
                <w:szCs w:val="18"/>
                <w:b w:val="1"/>
                <w:bCs w:val="1"/>
                <w:color w:val="auto"/>
                <w:w w:val="93"/>
              </w:rPr>
              <w:t>Rattler Midstream LP</w:t>
            </w:r>
          </w:p>
        </w:tc>
      </w:tr>
      <w:tr>
        <w:trPr>
          <w:trHeight w:val="228"/>
        </w:trPr>
        <w:tc>
          <w:tcPr>
            <w:tcW w:w="3540" w:type="dxa"/>
            <w:vAlign w:val="bottom"/>
          </w:tcPr>
          <w:p>
            <w:pPr>
              <w:spacing w:after="0"/>
              <w:rPr>
                <w:sz w:val="19"/>
                <w:szCs w:val="19"/>
                <w:color w:val="auto"/>
              </w:rPr>
            </w:pPr>
          </w:p>
        </w:tc>
        <w:tc>
          <w:tcPr>
            <w:tcW w:w="7700" w:type="dxa"/>
            <w:vAlign w:val="bottom"/>
            <w:gridSpan w:val="2"/>
          </w:tcPr>
          <w:p>
            <w:pPr>
              <w:jc w:val="center"/>
              <w:ind w:right="3520"/>
              <w:spacing w:after="0"/>
              <w:rPr>
                <w:sz w:val="20"/>
                <w:szCs w:val="20"/>
                <w:color w:val="auto"/>
              </w:rPr>
            </w:pPr>
            <w:r>
              <w:rPr>
                <w:rFonts w:ascii="Arial" w:cs="Arial" w:eastAsia="Arial" w:hAnsi="Arial"/>
                <w:sz w:val="18"/>
                <w:szCs w:val="18"/>
                <w:b w:val="1"/>
                <w:bCs w:val="1"/>
                <w:color w:val="auto"/>
                <w:w w:val="86"/>
              </w:rPr>
              <w:t>Subsidiaries of Registrant</w:t>
            </w:r>
          </w:p>
        </w:tc>
      </w:tr>
      <w:tr>
        <w:trPr>
          <w:trHeight w:val="119"/>
        </w:trPr>
        <w:tc>
          <w:tcPr>
            <w:tcW w:w="3540" w:type="dxa"/>
            <w:vAlign w:val="bottom"/>
          </w:tcPr>
          <w:p>
            <w:pPr>
              <w:spacing w:after="0"/>
              <w:rPr>
                <w:sz w:val="10"/>
                <w:szCs w:val="10"/>
                <w:color w:val="auto"/>
              </w:rPr>
            </w:pPr>
          </w:p>
        </w:tc>
        <w:tc>
          <w:tcPr>
            <w:tcW w:w="7700" w:type="dxa"/>
            <w:vAlign w:val="bottom"/>
            <w:gridSpan w:val="2"/>
          </w:tcPr>
          <w:p>
            <w:pPr>
              <w:spacing w:after="0"/>
              <w:rPr>
                <w:sz w:val="10"/>
                <w:szCs w:val="10"/>
                <w:color w:val="auto"/>
              </w:rPr>
            </w:pPr>
          </w:p>
        </w:tc>
      </w:tr>
      <w:tr>
        <w:trPr>
          <w:trHeight w:val="217"/>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660" w:type="dxa"/>
            <w:vAlign w:val="bottom"/>
            <w:tcBorders>
              <w:top w:val="single" w:sz="8" w:color="auto"/>
              <w:bottom w:val="single" w:sz="8" w:color="auto"/>
            </w:tcBorders>
          </w:tcPr>
          <w:p>
            <w:pPr>
              <w:jc w:val="center"/>
              <w:ind w:left="4932"/>
              <w:spacing w:after="0"/>
              <w:rPr>
                <w:sz w:val="20"/>
                <w:szCs w:val="20"/>
                <w:color w:val="auto"/>
              </w:rPr>
            </w:pPr>
            <w:r>
              <w:rPr>
                <w:rFonts w:ascii="Arial" w:cs="Arial" w:eastAsia="Arial" w:hAnsi="Arial"/>
                <w:sz w:val="18"/>
                <w:szCs w:val="18"/>
                <w:b w:val="1"/>
                <w:bCs w:val="1"/>
                <w:color w:val="auto"/>
                <w:w w:val="89"/>
              </w:rPr>
              <w:t>Jurisdiction of Incorporation</w:t>
            </w:r>
          </w:p>
        </w:tc>
        <w:tc>
          <w:tcPr>
            <w:tcW w:w="40" w:type="dxa"/>
            <w:vAlign w:val="bottom"/>
          </w:tcPr>
          <w:p>
            <w:pPr>
              <w:spacing w:after="0"/>
              <w:rPr>
                <w:sz w:val="18"/>
                <w:szCs w:val="18"/>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Holdings LLC</w:t>
            </w:r>
          </w:p>
        </w:tc>
        <w:tc>
          <w:tcPr>
            <w:tcW w:w="7660" w:type="dxa"/>
            <w:vAlign w:val="bottom"/>
            <w:shd w:val="clear" w:color="auto" w:fill="CCEEFF"/>
          </w:tcPr>
          <w:p>
            <w:pPr>
              <w:jc w:val="center"/>
              <w:ind w:left="4932"/>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8"/>
                <w:szCs w:val="18"/>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8"/>
                <w:szCs w:val="18"/>
                <w:color w:val="auto"/>
              </w:rPr>
              <w:t>Rattler Midstream Operating LLC</w:t>
            </w:r>
          </w:p>
        </w:tc>
        <w:tc>
          <w:tcPr>
            <w:tcW w:w="7700" w:type="dxa"/>
            <w:vAlign w:val="bottom"/>
            <w:gridSpan w:val="2"/>
          </w:tcPr>
          <w:p>
            <w:pPr>
              <w:jc w:val="center"/>
              <w:ind w:left="4892"/>
              <w:spacing w:after="0"/>
              <w:rPr>
                <w:sz w:val="20"/>
                <w:szCs w:val="20"/>
                <w:color w:val="auto"/>
              </w:rPr>
            </w:pPr>
            <w:r>
              <w:rPr>
                <w:rFonts w:ascii="Arial" w:cs="Arial" w:eastAsia="Arial" w:hAnsi="Arial"/>
                <w:sz w:val="18"/>
                <w:szCs w:val="18"/>
                <w:color w:val="auto"/>
                <w:w w:val="89"/>
              </w:rPr>
              <w:t>Delaware</w:t>
            </w:r>
          </w:p>
        </w:tc>
      </w:tr>
      <w:tr>
        <w:trPr>
          <w:trHeight w:val="22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Ajax Processing LLC</w:t>
            </w:r>
          </w:p>
        </w:tc>
        <w:tc>
          <w:tcPr>
            <w:tcW w:w="7660" w:type="dxa"/>
            <w:vAlign w:val="bottom"/>
            <w:shd w:val="clear" w:color="auto" w:fill="CCEEFF"/>
          </w:tcPr>
          <w:p>
            <w:pPr>
              <w:jc w:val="center"/>
              <w:ind w:left="4932"/>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8"/>
                <w:szCs w:val="18"/>
                <w:color w:val="auto"/>
              </w:rPr>
              <w:t>Rattler OMOG LLC</w:t>
            </w:r>
          </w:p>
        </w:tc>
        <w:tc>
          <w:tcPr>
            <w:tcW w:w="7700" w:type="dxa"/>
            <w:vAlign w:val="bottom"/>
            <w:gridSpan w:val="2"/>
          </w:tcPr>
          <w:p>
            <w:pPr>
              <w:jc w:val="center"/>
              <w:ind w:left="4892"/>
              <w:spacing w:after="0"/>
              <w:rPr>
                <w:sz w:val="20"/>
                <w:szCs w:val="20"/>
                <w:color w:val="auto"/>
              </w:rPr>
            </w:pPr>
            <w:r>
              <w:rPr>
                <w:rFonts w:ascii="Arial" w:cs="Arial" w:eastAsia="Arial" w:hAnsi="Arial"/>
                <w:sz w:val="18"/>
                <w:szCs w:val="18"/>
                <w:color w:val="auto"/>
                <w:w w:val="89"/>
              </w:rPr>
              <w:t>Delaware</w:t>
            </w:r>
          </w:p>
        </w:tc>
      </w:tr>
      <w:tr>
        <w:trPr>
          <w:trHeight w:val="22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Tall City Towers LLC</w:t>
            </w:r>
          </w:p>
        </w:tc>
        <w:tc>
          <w:tcPr>
            <w:tcW w:w="7660" w:type="dxa"/>
            <w:vAlign w:val="bottom"/>
            <w:shd w:val="clear" w:color="auto" w:fill="CCEEFF"/>
          </w:tcPr>
          <w:p>
            <w:pPr>
              <w:jc w:val="center"/>
              <w:ind w:left="4932"/>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7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30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We have issued our report dated February 24, 2022, with respect to the consolidated financial statements included in the Annual Report of Rattler Midstream LP on Form 10-K for the year ended December 31, 2021. We consent to the incorporation by reference of said report in the Registration Statement of Rattler Midstream LP on Form S-8 (File No. 333-231808, effective May 30, 2019).</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GRANT THORNTON LLP</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Oklahoma City, Oklahoma</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February 24, 2022</w:t>
      </w:r>
    </w:p>
    <w:p>
      <w:pPr>
        <w:sectPr>
          <w:pgSz w:w="11900" w:h="16838" w:orient="portrait"/>
          <w:cols w:equalWidth="0" w:num="1">
            <w:col w:w="11240"/>
          </w:cols>
          <w:pgMar w:left="320" w:top="87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6" w:lineRule="exact"/>
        <w:rPr>
          <w:sz w:val="20"/>
          <w:szCs w:val="20"/>
          <w:color w:val="auto"/>
        </w:rPr>
      </w:pPr>
    </w:p>
    <w:p>
      <w:pPr>
        <w:ind w:left="360" w:hanging="315"/>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82" w:lineRule="exact"/>
        <w:rPr>
          <w:rFonts w:ascii="Arial" w:cs="Arial" w:eastAsia="Arial" w:hAnsi="Arial"/>
          <w:sz w:val="18"/>
          <w:szCs w:val="18"/>
          <w:color w:val="auto"/>
        </w:rPr>
      </w:pPr>
    </w:p>
    <w:p>
      <w:pPr>
        <w:ind w:left="440" w:hanging="395"/>
        <w:spacing w:after="0" w:line="357" w:lineRule="auto"/>
        <w:tabs>
          <w:tab w:leader="none" w:pos="44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hanging="395"/>
        <w:spacing w:after="0" w:line="262" w:lineRule="auto"/>
        <w:tabs>
          <w:tab w:leader="none" w:pos="4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ind w:left="440" w:hanging="395"/>
        <w:spacing w:after="0" w:line="253" w:lineRule="auto"/>
        <w:tabs>
          <w:tab w:leader="none" w:pos="3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Arial" w:cs="Arial" w:eastAsia="Arial" w:hAnsi="Arial"/>
          <w:sz w:val="18"/>
          <w:szCs w:val="18"/>
          <w:color w:val="auto"/>
        </w:rPr>
      </w:pPr>
    </w:p>
    <w:p>
      <w:pPr>
        <w:jc w:val="both"/>
        <w:ind w:left="880" w:hanging="400"/>
        <w:spacing w:after="0" w:line="253" w:lineRule="auto"/>
        <w:tabs>
          <w:tab w:leader="none" w:pos="8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jc w:val="both"/>
        <w:ind w:left="880" w:hanging="400"/>
        <w:spacing w:after="0" w:line="253" w:lineRule="auto"/>
        <w:tabs>
          <w:tab w:leader="none" w:pos="8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ind w:left="880" w:hanging="400"/>
        <w:spacing w:after="0" w:line="325" w:lineRule="auto"/>
        <w:tabs>
          <w:tab w:leader="none" w:pos="8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880" w:hanging="400"/>
        <w:spacing w:after="0" w:line="253" w:lineRule="auto"/>
        <w:tabs>
          <w:tab w:leader="none" w:pos="87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440" w:hanging="395"/>
        <w:spacing w:after="0" w:line="325" w:lineRule="auto"/>
        <w:tabs>
          <w:tab w:leader="none" w:pos="4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880" w:hanging="400"/>
        <w:spacing w:after="0" w:line="262" w:lineRule="auto"/>
        <w:tabs>
          <w:tab w:leader="none" w:pos="9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880" w:hanging="400"/>
        <w:spacing w:after="0" w:line="262" w:lineRule="auto"/>
        <w:tabs>
          <w:tab w:leader="none" w:pos="9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17"/>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7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6" w:lineRule="exact"/>
        <w:rPr>
          <w:sz w:val="20"/>
          <w:szCs w:val="20"/>
          <w:color w:val="auto"/>
        </w:rPr>
      </w:pPr>
    </w:p>
    <w:p>
      <w:pPr>
        <w:ind w:left="360" w:hanging="315"/>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82" w:lineRule="exact"/>
        <w:rPr>
          <w:rFonts w:ascii="Arial" w:cs="Arial" w:eastAsia="Arial" w:hAnsi="Arial"/>
          <w:sz w:val="18"/>
          <w:szCs w:val="18"/>
          <w:color w:val="auto"/>
        </w:rPr>
      </w:pPr>
    </w:p>
    <w:p>
      <w:pPr>
        <w:ind w:left="440" w:hanging="395"/>
        <w:spacing w:after="0" w:line="357" w:lineRule="auto"/>
        <w:tabs>
          <w:tab w:leader="none" w:pos="442"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hanging="395"/>
        <w:spacing w:after="0" w:line="262" w:lineRule="auto"/>
        <w:tabs>
          <w:tab w:leader="none" w:pos="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ind w:left="440" w:hanging="395"/>
        <w:spacing w:after="0" w:line="253" w:lineRule="auto"/>
        <w:tabs>
          <w:tab w:leader="none" w:pos="3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Arial" w:cs="Arial" w:eastAsia="Arial" w:hAnsi="Arial"/>
          <w:sz w:val="18"/>
          <w:szCs w:val="18"/>
          <w:color w:val="auto"/>
        </w:rPr>
      </w:pPr>
    </w:p>
    <w:p>
      <w:pPr>
        <w:jc w:val="both"/>
        <w:ind w:left="880" w:hanging="400"/>
        <w:spacing w:after="0" w:line="253" w:lineRule="auto"/>
        <w:tabs>
          <w:tab w:leader="none" w:pos="8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jc w:val="both"/>
        <w:ind w:left="880" w:hanging="400"/>
        <w:spacing w:after="0" w:line="253" w:lineRule="auto"/>
        <w:tabs>
          <w:tab w:leader="none" w:pos="8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ind w:left="880" w:hanging="400"/>
        <w:spacing w:after="0" w:line="325" w:lineRule="auto"/>
        <w:tabs>
          <w:tab w:leader="none" w:pos="87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880" w:hanging="400"/>
        <w:spacing w:after="0" w:line="253" w:lineRule="auto"/>
        <w:tabs>
          <w:tab w:leader="none" w:pos="8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440" w:hanging="395"/>
        <w:spacing w:after="0" w:line="325" w:lineRule="auto"/>
        <w:tabs>
          <w:tab w:leader="none" w:pos="4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880" w:hanging="400"/>
        <w:spacing w:after="0" w:line="262" w:lineRule="auto"/>
        <w:tabs>
          <w:tab w:leader="none" w:pos="9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880" w:hanging="400"/>
        <w:spacing w:after="0" w:line="262" w:lineRule="auto"/>
        <w:tabs>
          <w:tab w:leader="none" w:pos="90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17"/>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72"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68" w:lineRule="exact"/>
        <w:rPr>
          <w:sz w:val="20"/>
          <w:szCs w:val="20"/>
          <w:color w:val="auto"/>
        </w:rPr>
      </w:pPr>
    </w:p>
    <w:p>
      <w:pPr>
        <w:jc w:val="both"/>
        <w:ind w:firstLine="435"/>
        <w:spacing w:after="0" w:line="250" w:lineRule="auto"/>
        <w:rPr>
          <w:sz w:val="20"/>
          <w:szCs w:val="20"/>
          <w:color w:val="auto"/>
        </w:rPr>
      </w:pPr>
      <w:r>
        <w:rPr>
          <w:rFonts w:ascii="Arial" w:cs="Arial" w:eastAsia="Arial" w:hAnsi="Arial"/>
          <w:sz w:val="18"/>
          <w:szCs w:val="18"/>
          <w:color w:val="auto"/>
        </w:rPr>
        <w:t>In connection with the Annual Report on Form 10-K of Rattler Midstream LP (the “Partnership”), as filed with the Securities and Exchange Commission on the date hereof (the “Report”), the undersigned, Travis D. Stice, Chief Executive Officer of Rattler Midstream GP LLC, the general partner of the Partnership, and Teresa L. Dick, Chief Financial Officer of Rattler Midstream GP LLC, certify, pursuant to 18 U.S.C. Section 1350, as adopted pursuant to Section 906 of the Sarbanes-Oxley Act of 2002, that, to their knowledge:</w:t>
      </w:r>
    </w:p>
    <w:p>
      <w:pPr>
        <w:spacing w:after="0" w:line="139" w:lineRule="exact"/>
        <w:rPr>
          <w:sz w:val="20"/>
          <w:szCs w:val="20"/>
          <w:color w:val="auto"/>
        </w:rPr>
      </w:pPr>
    </w:p>
    <w:p>
      <w:pPr>
        <w:ind w:left="680" w:hanging="240"/>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84" w:lineRule="exact"/>
        <w:rPr>
          <w:rFonts w:ascii="Arial" w:cs="Arial" w:eastAsia="Arial" w:hAnsi="Arial"/>
          <w:sz w:val="16"/>
          <w:szCs w:val="16"/>
          <w:color w:val="auto"/>
        </w:rPr>
      </w:pPr>
    </w:p>
    <w:p>
      <w:pPr>
        <w:ind w:left="680" w:hanging="240"/>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17"/>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r>
        <w:trPr>
          <w:trHeight w:val="47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17"/>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24"/>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pacing w:after="0" w:line="1" w:lineRule="exact"/>
        <w:rPr>
          <w:sz w:val="20"/>
          <w:szCs w:val="20"/>
          <w:color w:val="auto"/>
        </w:rPr>
      </w:pP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lowerRoman"/>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3"/>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lvl w:ilvl="1">
      <w:lvlJc w:val="left"/>
      <w:lvlText w:val="(%2)"/>
      <w:numFmt w:val="lowerRoman"/>
      <w:start w:val="5"/>
    </w:lvl>
  </w:abstractNum>
  <w:abstractNum w:abstractNumId="21">
    <w:nsid w:val="6CEAF087"/>
    <w:multiLevelType w:val="hybridMultilevel"/>
    <w:lvl w:ilvl="0">
      <w:lvlJc w:val="left"/>
      <w:lvlText w:val="(%1)"/>
      <w:numFmt w:val="decimal"/>
      <w:start w:val="4"/>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decimal"/>
      <w:start w:val="50"/>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6"/>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4"/>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14"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53" Type="http://schemas.openxmlformats.org/officeDocument/2006/relationships/hyperlink" Target="https://www.sec.gov/ix?doc=/Archives/edgar/data/1748773/000174877321000006/rtlr-20201231.htm#i422e406e22f14d95aafccc8795e718e7_46" TargetMode="External"/><Relationship Id="rId85" Type="http://schemas.openxmlformats.org/officeDocument/2006/relationships/hyperlink" Target="http://www.sec.gov/Archives/edgar/data/1748773/000119312519013584/d596284dex21.htm" TargetMode="External"/><Relationship Id="rId86" Type="http://schemas.openxmlformats.org/officeDocument/2006/relationships/hyperlink" Target="http://www.sec.gov/Archives/edgar/data/0001748773/000119312519044486/d596284dex22.htm" TargetMode="External"/><Relationship Id="rId87" Type="http://schemas.openxmlformats.org/officeDocument/2006/relationships/hyperlink" Target="https://www.sec.gov/Archives/edgar/data/1748773/000119312521304096/d350846dex21.htm" TargetMode="External"/><Relationship Id="rId88" Type="http://schemas.openxmlformats.org/officeDocument/2006/relationships/hyperlink" Target="http://www.sec.gov/Archives/edgar/data/1748773/000119312518241161/d596284dex31.htm" TargetMode="External"/><Relationship Id="rId89" Type="http://schemas.openxmlformats.org/officeDocument/2006/relationships/hyperlink" Target="http://www.sec.gov/Archives/edgar/data/1748773/000119312519013584/d596284dex32.htm" TargetMode="External"/><Relationship Id="rId90" Type="http://schemas.openxmlformats.org/officeDocument/2006/relationships/hyperlink" Target="http://www.sec.gov/Archives/edgar/data/1748773/000119312519159754/d751257dex31.htm" TargetMode="External"/><Relationship Id="rId91" Type="http://schemas.openxmlformats.org/officeDocument/2006/relationships/hyperlink" Target="http://www.sec.gov/Archives/edgar/data/1748773/000119312518241161/d596284dex33.htm" TargetMode="External"/><Relationship Id="rId92" Type="http://schemas.openxmlformats.org/officeDocument/2006/relationships/hyperlink" Target="http://www.sec.gov/Archives/edgar/data/1748773/000119312518241161/d596284dex34.htm" TargetMode="External"/><Relationship Id="rId93" Type="http://schemas.openxmlformats.org/officeDocument/2006/relationships/hyperlink" Target="http://www.sec.gov/Archives/edgar/data/1748773/000119312519013584/d596284dex36.htm" TargetMode="External"/><Relationship Id="rId94" Type="http://schemas.openxmlformats.org/officeDocument/2006/relationships/hyperlink" Target="https://www.sec.gov/Archives/edgar/data/1748773/000119312521367004/d242121dex31.htm" TargetMode="External"/><Relationship Id="rId95" Type="http://schemas.openxmlformats.org/officeDocument/2006/relationships/hyperlink" Target="http://www.sec.gov/Archives/edgar/data/1748773/000119312518241161/d596284dex36.htm" TargetMode="External"/><Relationship Id="rId96" Type="http://schemas.openxmlformats.org/officeDocument/2006/relationships/hyperlink" Target="http://www.sec.gov/Archives/edgar/data/1748773/000119312519159754/d751257dex33.htm" TargetMode="External"/><Relationship Id="rId97" Type="http://schemas.openxmlformats.org/officeDocument/2006/relationships/hyperlink" Target="https://www.sec.gov/Archives/edgar/data/1748773/000119312520192623/d939793dex41.htm" TargetMode="External"/><Relationship Id="rId100" Type="http://schemas.openxmlformats.org/officeDocument/2006/relationships/hyperlink" Target="http://www.sec.gov/Archives/edgar/data/1748773/000119312519159754/d751257dex41.htm" TargetMode="External"/><Relationship Id="rId101" Type="http://schemas.openxmlformats.org/officeDocument/2006/relationships/hyperlink" Target="http://www.sec.gov/Archives/edgar/data/1748773/000119312520192623/d939793dex41.htm" TargetMode="External"/><Relationship Id="rId102" Type="http://schemas.openxmlformats.org/officeDocument/2006/relationships/hyperlink" Target="http://www.sec.gov/Archives/edgar/data/1748773/000119312519137835/d596284dex104.htm" TargetMode="External"/><Relationship Id="rId103" Type="http://schemas.openxmlformats.org/officeDocument/2006/relationships/hyperlink" Target="https://www.sec.gov/Archives/edgar/data/1748773/000119312519044486/d596284dex105.htm" TargetMode="External"/><Relationship Id="rId104" Type="http://schemas.openxmlformats.org/officeDocument/2006/relationships/hyperlink" Target="https://www.sec.gov/Archives/edgar/data/1748773/000174877320000015/rattlerex103-5x7x20.htm" TargetMode="External"/><Relationship Id="rId105" Type="http://schemas.openxmlformats.org/officeDocument/2006/relationships/hyperlink" Target="http://www.sec.gov/Archives/edgar/data/1748773/000119312519137835/d596284dex106.htm" TargetMode="External"/><Relationship Id="rId106" Type="http://schemas.openxmlformats.org/officeDocument/2006/relationships/hyperlink" Target="https://www.sec.gov/Archives/edgar/data/1748773/000174877320000015/rattlerex102-5x7x20.htm" TargetMode="External"/><Relationship Id="rId107" Type="http://schemas.openxmlformats.org/officeDocument/2006/relationships/hyperlink" Target="http://www.sec.gov/Archives/edgar/data/1748773/000119312519137835/d596284dex107.htm" TargetMode="External"/><Relationship Id="rId108" Type="http://schemas.openxmlformats.org/officeDocument/2006/relationships/hyperlink" Target="https://www.sec.gov/Archives/edgar/data/1748773/000174877320000015/rattlerex104-5x7x20.htm" TargetMode="External"/><Relationship Id="rId109" Type="http://schemas.openxmlformats.org/officeDocument/2006/relationships/hyperlink" Target="http://www.sec.gov/Archives/edgar/data/1748773/000119312519137835/d596284dex108.htm" TargetMode="External"/><Relationship Id="rId110" Type="http://schemas.openxmlformats.org/officeDocument/2006/relationships/hyperlink" Target="https://www.sec.gov/Archives/edgar/data/1748773/000174877320000015/rattlerex105-5x7x20.htm" TargetMode="External"/><Relationship Id="rId111" Type="http://schemas.openxmlformats.org/officeDocument/2006/relationships/hyperlink" Target="http://www.sec.gov/Archives/edgar/data/1748773/000119312519159754/d751257dex102.htm" TargetMode="External"/><Relationship Id="rId112" Type="http://schemas.openxmlformats.org/officeDocument/2006/relationships/hyperlink" Target="https://www.sec.gov/Archives/edgar/data/1748773/000174877319000010/rattlerex101-10x28x19.htm" TargetMode="External"/><Relationship Id="rId113" Type="http://schemas.openxmlformats.org/officeDocument/2006/relationships/hyperlink" Target="https://www.sec.gov/Archives/edgar/data/1748773/000174877320000046/rattlerex103-11x5x20.htm" TargetMode="External"/><Relationship Id="rId115" Type="http://schemas.openxmlformats.org/officeDocument/2006/relationships/hyperlink" Target="https://www.sec.gov/Archives/edgar/data/1748773/000119312521367004/d242121dex101.htm" TargetMode="External"/><Relationship Id="rId116" Type="http://schemas.openxmlformats.org/officeDocument/2006/relationships/hyperlink" Target="https://www.sec.gov/Archives/edgar/data/1748773/000119312520192623/d939793dex102.htm" TargetMode="External"/><Relationship Id="rId117" Type="http://schemas.openxmlformats.org/officeDocument/2006/relationships/hyperlink" Target="http://www.sec.gov/Archives/edgar/data/1748773/000119312519159754/d751257dex103.htm" TargetMode="External"/><Relationship Id="rId118" Type="http://schemas.openxmlformats.org/officeDocument/2006/relationships/hyperlink" Target="https://www.sec.gov/Archives/edgar/data/1748773/000119312519159754/d751257dex108.htm" TargetMode="External"/><Relationship Id="rId119" Type="http://schemas.openxmlformats.org/officeDocument/2006/relationships/hyperlink" Target="https://www.sec.gov/Archives/edgar/data/1748773/000174877320000007/rattler201910-kxex1041.htm" TargetMode="External"/><Relationship Id="rId120" Type="http://schemas.openxmlformats.org/officeDocument/2006/relationships/hyperlink" Target="https://www.sec.gov/Archives/edgar/data/1748773/000174877321000006/rattler202010-kxex1019.htm" TargetMode="External"/><Relationship Id="rId121" Type="http://schemas.openxmlformats.org/officeDocument/2006/relationships/hyperlink" Target="http://www.sec.gov/Archives/edgar/data/1748773/000119312519159754/d751257dex104.htm" TargetMode="External"/><Relationship Id="rId122" Type="http://schemas.openxmlformats.org/officeDocument/2006/relationships/hyperlink" Target="https://www.sec.gov/Archives/edgar/data/1748773/000119312521367004/d242121dex102.htm" TargetMode="External"/><Relationship Id="rId123" Type="http://schemas.openxmlformats.org/officeDocument/2006/relationships/hyperlink" Target="http://www.sec.gov/Archives/edgar/data/1748773/000119312519159754/d751257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2022-02-24T16:50:45Z</dcterms:created>
  <dcterms:modified xsi:type="dcterms:W3CDTF">2022-02-24T16:50:45Z</dcterms:modified>
</cp:coreProperties>
</file>