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7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SCHEDULE 13G</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1)*</w:t>
      </w:r>
    </w:p>
    <w:p>
      <w:pPr>
        <w:spacing w:after="0" w:line="200" w:lineRule="exact"/>
        <w:rPr>
          <w:sz w:val="24"/>
          <w:szCs w:val="24"/>
          <w:color w:val="auto"/>
        </w:rPr>
      </w:pPr>
    </w:p>
    <w:p>
      <w:pPr>
        <w:spacing w:after="0" w:line="2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Rattler Midstream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24"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24"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75419T103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24"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24" w:lineRule="exact"/>
        <w:rPr>
          <w:sz w:val="24"/>
          <w:szCs w:val="24"/>
          <w:color w:val="auto"/>
        </w:rPr>
      </w:pPr>
    </w:p>
    <w:p>
      <w:pPr>
        <w:ind w:left="66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6" w:lineRule="exact"/>
        <w:rPr>
          <w:sz w:val="24"/>
          <w:szCs w:val="24"/>
          <w:color w:val="auto"/>
        </w:rPr>
      </w:pPr>
    </w:p>
    <w:p>
      <w:pPr>
        <w:jc w:val="both"/>
        <w:ind w:left="1300" w:right="8260" w:firstLine="4"/>
        <w:spacing w:after="0" w:line="532" w:lineRule="auto"/>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 [_] Rule 13d-1(c)</w:t>
      </w:r>
    </w:p>
    <w:p>
      <w:pPr>
        <w:ind w:left="1300"/>
        <w:spacing w:after="0"/>
        <w:rPr>
          <w:rFonts w:ascii="Arial" w:cs="Arial" w:eastAsia="Arial" w:hAnsi="Arial"/>
          <w:sz w:val="18"/>
          <w:szCs w:val="18"/>
          <w:color w:val="auto"/>
        </w:rPr>
      </w:pPr>
      <w:r>
        <w:rPr>
          <w:rFonts w:ascii="Arial" w:cs="Arial" w:eastAsia="Arial" w:hAnsi="Arial"/>
          <w:sz w:val="20"/>
          <w:szCs w:val="20"/>
          <w:color w:val="auto"/>
        </w:rPr>
        <w:t>[_] Rule 13d-1(d)</w:t>
      </w:r>
    </w:p>
    <w:p>
      <w:pPr>
        <w:spacing w:after="0" w:line="234" w:lineRule="exact"/>
        <w:rPr>
          <w:sz w:val="24"/>
          <w:szCs w:val="24"/>
          <w:color w:val="auto"/>
        </w:rPr>
      </w:pPr>
    </w:p>
    <w:p>
      <w:pPr>
        <w:spacing w:after="0"/>
        <w:rPr>
          <w:sz w:val="20"/>
          <w:szCs w:val="20"/>
          <w:color w:val="auto"/>
        </w:rPr>
      </w:pPr>
      <w:r>
        <w:rPr>
          <w:rFonts w:ascii="Courier New" w:cs="Courier New" w:eastAsia="Courier New" w:hAnsi="Courier New"/>
          <w:sz w:val="20"/>
          <w:szCs w:val="20"/>
          <w:color w:val="auto"/>
        </w:rPr>
        <w:t>__________</w:t>
      </w:r>
    </w:p>
    <w:p>
      <w:pPr>
        <w:ind w:right="160"/>
        <w:spacing w:after="0" w:line="29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441"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4"/>
        </w:trPr>
        <w:tc>
          <w:tcPr>
            <w:tcW w:w="1480" w:type="dxa"/>
            <w:vAlign w:val="bottom"/>
          </w:tcPr>
          <w:p>
            <w:pPr>
              <w:spacing w:after="0"/>
              <w:rPr>
                <w:sz w:val="20"/>
                <w:szCs w:val="20"/>
                <w:color w:val="auto"/>
              </w:rPr>
            </w:pPr>
            <w:r>
              <w:rPr>
                <w:rFonts w:ascii="Arial" w:cs="Arial" w:eastAsia="Arial" w:hAnsi="Arial"/>
                <w:sz w:val="20"/>
                <w:szCs w:val="20"/>
                <w:color w:val="auto"/>
              </w:rPr>
              <w:t>CUSIP No</w:t>
            </w:r>
          </w:p>
        </w:tc>
        <w:tc>
          <w:tcPr>
            <w:tcW w:w="29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75419T103</w:t>
            </w:r>
          </w:p>
        </w:tc>
      </w:tr>
    </w:tbl>
    <w:p>
      <w:pPr>
        <w:spacing w:after="0" w:line="200" w:lineRule="exact"/>
        <w:rPr>
          <w:sz w:val="20"/>
          <w:szCs w:val="20"/>
          <w:color w:val="auto"/>
        </w:rPr>
      </w:pPr>
    </w:p>
    <w:p>
      <w:pPr>
        <w:spacing w:after="0" w:line="269" w:lineRule="exact"/>
        <w:rPr>
          <w:sz w:val="20"/>
          <w:szCs w:val="20"/>
          <w:color w:val="auto"/>
        </w:rPr>
      </w:pPr>
    </w:p>
    <w:p>
      <w:pPr>
        <w:ind w:left="900" w:hanging="895"/>
        <w:spacing w:after="0"/>
        <w:tabs>
          <w:tab w:leader="none" w:pos="9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0" w:lineRule="exact"/>
        <w:rPr>
          <w:rFonts w:ascii="Arial" w:cs="Arial" w:eastAsia="Arial" w:hAnsi="Arial"/>
          <w:sz w:val="20"/>
          <w:szCs w:val="20"/>
          <w:color w:val="auto"/>
        </w:rPr>
      </w:pPr>
    </w:p>
    <w:p>
      <w:pPr>
        <w:ind w:left="900"/>
        <w:spacing w:after="0"/>
        <w:rPr>
          <w:rFonts w:ascii="Arial" w:cs="Arial" w:eastAsia="Arial" w:hAnsi="Arial"/>
          <w:sz w:val="20"/>
          <w:szCs w:val="20"/>
          <w:color w:val="auto"/>
        </w:rPr>
      </w:pPr>
      <w:r>
        <w:rPr>
          <w:rFonts w:ascii="Arial" w:cs="Arial" w:eastAsia="Arial" w:hAnsi="Arial"/>
          <w:sz w:val="20"/>
          <w:szCs w:val="20"/>
          <w:color w:val="auto"/>
        </w:rPr>
        <w:t>I.R.S. IDENTIFICATION NOS. OF ABOVE PERSONS (ENTITIES ONLY)</w:t>
      </w:r>
    </w:p>
    <w:p>
      <w:pPr>
        <w:spacing w:after="0" w:line="244" w:lineRule="exact"/>
        <w:rPr>
          <w:rFonts w:ascii="Arial" w:cs="Arial" w:eastAsia="Arial" w:hAnsi="Arial"/>
          <w:sz w:val="20"/>
          <w:szCs w:val="20"/>
          <w:color w:val="auto"/>
        </w:rPr>
      </w:pPr>
    </w:p>
    <w:p>
      <w:pPr>
        <w:ind w:left="900"/>
        <w:spacing w:after="0"/>
        <w:rPr>
          <w:rFonts w:ascii="Arial" w:cs="Arial" w:eastAsia="Arial" w:hAnsi="Arial"/>
          <w:sz w:val="20"/>
          <w:szCs w:val="20"/>
          <w:color w:val="auto"/>
        </w:rPr>
      </w:pPr>
      <w:r>
        <w:rPr>
          <w:rFonts w:ascii="Arial" w:cs="Arial" w:eastAsia="Arial" w:hAnsi="Arial"/>
          <w:sz w:val="22"/>
          <w:szCs w:val="22"/>
          <w:color w:val="auto"/>
        </w:rPr>
        <w:t>Cardinal Capital Management, LLC</w:t>
      </w:r>
    </w:p>
    <w:p>
      <w:pPr>
        <w:spacing w:after="0" w:line="237" w:lineRule="exact"/>
        <w:rPr>
          <w:rFonts w:ascii="Arial" w:cs="Arial" w:eastAsia="Arial" w:hAnsi="Arial"/>
          <w:sz w:val="20"/>
          <w:szCs w:val="20"/>
          <w:color w:val="auto"/>
        </w:rPr>
      </w:pPr>
    </w:p>
    <w:p>
      <w:pPr>
        <w:ind w:left="900" w:hanging="895"/>
        <w:spacing w:after="0"/>
        <w:tabs>
          <w:tab w:leader="none" w:pos="9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 [x]</w:t>
      </w:r>
    </w:p>
    <w:p>
      <w:pPr>
        <w:spacing w:after="0" w:line="249" w:lineRule="exact"/>
        <w:rPr>
          <w:sz w:val="20"/>
          <w:szCs w:val="20"/>
          <w:color w:val="auto"/>
        </w:rPr>
      </w:pPr>
    </w:p>
    <w:p>
      <w:pPr>
        <w:ind w:left="900" w:hanging="895"/>
        <w:spacing w:after="0"/>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2" w:lineRule="exact"/>
        <w:rPr>
          <w:rFonts w:ascii="Arial" w:cs="Arial" w:eastAsia="Arial" w:hAnsi="Arial"/>
          <w:sz w:val="20"/>
          <w:szCs w:val="20"/>
          <w:color w:val="auto"/>
        </w:rPr>
      </w:pPr>
    </w:p>
    <w:p>
      <w:pPr>
        <w:ind w:left="900" w:hanging="895"/>
        <w:spacing w:after="0"/>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51" w:lineRule="exact"/>
        <w:rPr>
          <w:sz w:val="20"/>
          <w:szCs w:val="20"/>
          <w:color w:val="auto"/>
        </w:rPr>
      </w:pPr>
    </w:p>
    <w:p>
      <w:pPr>
        <w:ind w:left="900"/>
        <w:spacing w:after="0"/>
        <w:rPr>
          <w:sz w:val="20"/>
          <w:szCs w:val="20"/>
          <w:color w:val="auto"/>
        </w:rPr>
      </w:pPr>
      <w:r>
        <w:rPr>
          <w:rFonts w:ascii="Arial" w:cs="Arial" w:eastAsia="Arial" w:hAnsi="Arial"/>
          <w:sz w:val="22"/>
          <w:szCs w:val="22"/>
          <w:color w:val="auto"/>
        </w:rPr>
        <w:t>United States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NUMBER OF SHARES BENEFICIALLY OWNED BY EACH REPORTING PERSON WITH</w:t>
      </w:r>
    </w:p>
    <w:p>
      <w:pPr>
        <w:spacing w:after="0" w:line="243" w:lineRule="exact"/>
        <w:rPr>
          <w:sz w:val="20"/>
          <w:szCs w:val="20"/>
          <w:color w:val="auto"/>
        </w:rPr>
      </w:pPr>
    </w:p>
    <w:p>
      <w:pPr>
        <w:ind w:left="960" w:right="7720" w:hanging="955"/>
        <w:spacing w:after="0" w:line="507" w:lineRule="auto"/>
        <w:tabs>
          <w:tab w:leader="none" w:pos="911" w:val="left"/>
        </w:tabs>
        <w:numPr>
          <w:ilvl w:val="0"/>
          <w:numId w:val="4"/>
        </w:numPr>
        <w:rPr>
          <w:rFonts w:ascii="Arial" w:cs="Arial" w:eastAsia="Arial" w:hAnsi="Arial"/>
          <w:sz w:val="20"/>
          <w:szCs w:val="20"/>
          <w:color w:val="auto"/>
        </w:rPr>
      </w:pPr>
      <w:r>
        <w:rPr>
          <w:rFonts w:ascii="Arial" w:cs="Arial" w:eastAsia="Arial" w:hAnsi="Arial"/>
          <w:sz w:val="20"/>
          <w:szCs w:val="20"/>
          <w:color w:val="auto"/>
        </w:rPr>
        <w:t>SOLE VOTING POWER 0</w:t>
      </w:r>
    </w:p>
    <w:p>
      <w:pPr>
        <w:ind w:left="900" w:right="7420" w:hanging="895"/>
        <w:spacing w:after="0" w:line="507" w:lineRule="auto"/>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SHARED VOTING POWER 0</w:t>
      </w:r>
    </w:p>
    <w:p>
      <w:pPr>
        <w:ind w:left="900" w:right="7280" w:hanging="895"/>
        <w:spacing w:after="0" w:line="507" w:lineRule="auto"/>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00" w:right="6980" w:hanging="895"/>
        <w:spacing w:after="0" w:line="507" w:lineRule="auto"/>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SHARED DISPOSITIVE POWER 0</w:t>
      </w:r>
    </w:p>
    <w:p>
      <w:pPr>
        <w:ind w:left="900" w:right="2560" w:hanging="895"/>
        <w:spacing w:after="0" w:line="500" w:lineRule="auto"/>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0</w:t>
      </w:r>
    </w:p>
    <w:p>
      <w:pPr>
        <w:ind w:left="900" w:right="1540" w:hanging="895"/>
        <w:spacing w:after="0" w:line="247" w:lineRule="auto"/>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[_]</w:t>
      </w:r>
    </w:p>
    <w:p>
      <w:pPr>
        <w:spacing w:after="0" w:line="200" w:lineRule="exact"/>
        <w:rPr>
          <w:sz w:val="20"/>
          <w:szCs w:val="20"/>
          <w:color w:val="auto"/>
        </w:rPr>
      </w:pPr>
    </w:p>
    <w:p>
      <w:pPr>
        <w:spacing w:after="0" w:line="283" w:lineRule="exact"/>
        <w:rPr>
          <w:sz w:val="20"/>
          <w:szCs w:val="20"/>
          <w:color w:val="auto"/>
        </w:rPr>
      </w:pPr>
    </w:p>
    <w:p>
      <w:pPr>
        <w:ind w:left="900" w:right="4200" w:hanging="895"/>
        <w:spacing w:after="0" w:line="507" w:lineRule="auto"/>
        <w:tabs>
          <w:tab w:leader="none" w:pos="900" w:val="left"/>
        </w:tabs>
        <w:numPr>
          <w:ilvl w:val="0"/>
          <w:numId w:val="5"/>
        </w:numPr>
        <w:rPr>
          <w:rFonts w:ascii="Arial" w:cs="Arial" w:eastAsia="Arial" w:hAnsi="Arial"/>
          <w:sz w:val="20"/>
          <w:szCs w:val="20"/>
          <w:color w:val="auto"/>
        </w:rPr>
      </w:pPr>
      <w:r>
        <w:rPr>
          <w:rFonts w:ascii="Arial" w:cs="Arial" w:eastAsia="Arial" w:hAnsi="Arial"/>
          <w:sz w:val="20"/>
          <w:szCs w:val="20"/>
          <w:color w:val="auto"/>
        </w:rPr>
        <w:t>PERCENT OF CLASS REPRESENTED BY AMOUNT IN ROW (9) 0.0%</w:t>
      </w:r>
    </w:p>
    <w:p>
      <w:pPr>
        <w:ind w:left="900" w:hanging="895"/>
        <w:spacing w:after="0"/>
        <w:tabs>
          <w:tab w:leader="none" w:pos="9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12" w:lineRule="exact"/>
        <w:rPr>
          <w:rFonts w:ascii="Arial" w:cs="Arial" w:eastAsia="Arial" w:hAnsi="Arial"/>
          <w:sz w:val="20"/>
          <w:szCs w:val="20"/>
          <w:color w:val="auto"/>
        </w:rPr>
      </w:pPr>
    </w:p>
    <w:p>
      <w:pPr>
        <w:ind w:left="900"/>
        <w:spacing w:after="0"/>
        <w:rPr>
          <w:rFonts w:ascii="Arial" w:cs="Arial" w:eastAsia="Arial" w:hAnsi="Arial"/>
          <w:sz w:val="20"/>
          <w:szCs w:val="20"/>
          <w:color w:val="auto"/>
        </w:rPr>
      </w:pPr>
      <w:r>
        <w:rPr>
          <w:rFonts w:ascii="Arial" w:cs="Arial" w:eastAsia="Arial" w:hAnsi="Arial"/>
          <w:sz w:val="22"/>
          <w:szCs w:val="22"/>
          <w:color w:val="auto"/>
        </w:rPr>
        <w:t>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304165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420" w:top="712" w:right="7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4"/>
        </w:trPr>
        <w:tc>
          <w:tcPr>
            <w:tcW w:w="1040" w:type="dxa"/>
            <w:vAlign w:val="bottom"/>
          </w:tcPr>
          <w:p>
            <w:pPr>
              <w:ind w:left="100"/>
              <w:spacing w:after="0"/>
              <w:rPr>
                <w:sz w:val="20"/>
                <w:szCs w:val="20"/>
                <w:color w:val="auto"/>
              </w:rPr>
            </w:pPr>
            <w:r>
              <w:rPr>
                <w:rFonts w:ascii="Arial" w:cs="Arial" w:eastAsia="Arial" w:hAnsi="Arial"/>
                <w:sz w:val="20"/>
                <w:szCs w:val="20"/>
                <w:color w:val="auto"/>
                <w:w w:val="99"/>
              </w:rPr>
              <w:t>CUSIP No</w:t>
            </w:r>
          </w:p>
        </w:tc>
        <w:tc>
          <w:tcPr>
            <w:tcW w:w="540" w:type="dxa"/>
            <w:vAlign w:val="bottom"/>
          </w:tcPr>
          <w:p>
            <w:pPr>
              <w:spacing w:after="0"/>
              <w:rPr>
                <w:sz w:val="22"/>
                <w:szCs w:val="22"/>
                <w:color w:val="auto"/>
              </w:rPr>
            </w:pPr>
          </w:p>
        </w:tc>
        <w:tc>
          <w:tcPr>
            <w:tcW w:w="29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75419T103</w:t>
            </w:r>
          </w:p>
        </w:tc>
        <w:tc>
          <w:tcPr>
            <w:tcW w:w="6740" w:type="dxa"/>
            <w:vAlign w:val="bottom"/>
            <w:gridSpan w:val="2"/>
          </w:tcPr>
          <w:p>
            <w:pPr>
              <w:spacing w:after="0"/>
              <w:rPr>
                <w:sz w:val="22"/>
                <w:szCs w:val="22"/>
                <w:color w:val="auto"/>
              </w:rPr>
            </w:pPr>
          </w:p>
        </w:tc>
      </w:tr>
      <w:tr>
        <w:trPr>
          <w:trHeight w:val="470"/>
        </w:trPr>
        <w:tc>
          <w:tcPr>
            <w:tcW w:w="1040" w:type="dxa"/>
            <w:vAlign w:val="bottom"/>
          </w:tcPr>
          <w:p>
            <w:pPr>
              <w:ind w:left="100"/>
              <w:spacing w:after="0"/>
              <w:rPr>
                <w:sz w:val="20"/>
                <w:szCs w:val="20"/>
                <w:color w:val="auto"/>
              </w:rPr>
            </w:pPr>
            <w:r>
              <w:rPr>
                <w:rFonts w:ascii="Arial" w:cs="Arial" w:eastAsia="Arial" w:hAnsi="Arial"/>
                <w:sz w:val="20"/>
                <w:szCs w:val="20"/>
                <w:color w:val="auto"/>
              </w:rPr>
              <w:t>Item 1.</w:t>
            </w:r>
          </w:p>
        </w:tc>
        <w:tc>
          <w:tcPr>
            <w:tcW w:w="540" w:type="dxa"/>
            <w:vAlign w:val="bottom"/>
          </w:tcPr>
          <w:p>
            <w:pPr>
              <w:ind w:left="80"/>
              <w:spacing w:after="0"/>
              <w:rPr>
                <w:sz w:val="20"/>
                <w:szCs w:val="20"/>
                <w:color w:val="auto"/>
              </w:rPr>
            </w:pPr>
            <w:r>
              <w:rPr>
                <w:rFonts w:ascii="Arial" w:cs="Arial" w:eastAsia="Arial" w:hAnsi="Arial"/>
                <w:sz w:val="20"/>
                <w:szCs w:val="20"/>
                <w:color w:val="auto"/>
              </w:rPr>
              <w:t>(a).</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
          </w:tcPr>
          <w:p>
            <w:pPr>
              <w:spacing w:after="0"/>
              <w:rPr>
                <w:sz w:val="20"/>
                <w:szCs w:val="20"/>
                <w:color w:val="auto"/>
              </w:rPr>
            </w:pPr>
            <w:r>
              <w:rPr>
                <w:rFonts w:ascii="Arial" w:cs="Arial" w:eastAsia="Arial" w:hAnsi="Arial"/>
                <w:sz w:val="20"/>
                <w:szCs w:val="20"/>
                <w:color w:val="auto"/>
              </w:rPr>
              <w:t>Name of Issuer:</w:t>
            </w:r>
          </w:p>
        </w:tc>
      </w:tr>
      <w:tr>
        <w:trPr>
          <w:trHeight w:val="478"/>
        </w:trPr>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
          </w:tcPr>
          <w:p>
            <w:pPr>
              <w:spacing w:after="0"/>
              <w:rPr>
                <w:sz w:val="20"/>
                <w:szCs w:val="20"/>
                <w:color w:val="auto"/>
              </w:rPr>
            </w:pPr>
            <w:r>
              <w:rPr>
                <w:rFonts w:ascii="Arial" w:cs="Arial" w:eastAsia="Arial" w:hAnsi="Arial"/>
                <w:sz w:val="22"/>
                <w:szCs w:val="22"/>
                <w:color w:val="auto"/>
              </w:rPr>
              <w:t>Rattler Midstream LP</w:t>
            </w:r>
          </w:p>
        </w:tc>
      </w:tr>
      <w:tr>
        <w:trPr>
          <w:trHeight w:val="233"/>
        </w:trPr>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gridSpan w:val="2"/>
          </w:tcPr>
          <w:p>
            <w:pPr>
              <w:spacing w:after="0"/>
              <w:rPr>
                <w:sz w:val="20"/>
                <w:szCs w:val="20"/>
                <w:color w:val="auto"/>
              </w:rPr>
            </w:pPr>
          </w:p>
        </w:tc>
        <w:tc>
          <w:tcPr>
            <w:tcW w:w="1120" w:type="dxa"/>
            <w:vAlign w:val="bottom"/>
          </w:tcPr>
          <w:p>
            <w:pPr>
              <w:spacing w:after="0"/>
              <w:rPr>
                <w:sz w:val="20"/>
                <w:szCs w:val="20"/>
                <w:color w:val="auto"/>
              </w:rPr>
            </w:pPr>
          </w:p>
        </w:tc>
      </w:tr>
      <w:tr>
        <w:trPr>
          <w:trHeight w:val="470"/>
        </w:trPr>
        <w:tc>
          <w:tcPr>
            <w:tcW w:w="104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20"/>
                <w:szCs w:val="20"/>
                <w:color w:val="auto"/>
              </w:rPr>
              <w:t>(b).</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
          </w:tcPr>
          <w:p>
            <w:pPr>
              <w:spacing w:after="0"/>
              <w:rPr>
                <w:sz w:val="20"/>
                <w:szCs w:val="20"/>
                <w:color w:val="auto"/>
              </w:rPr>
            </w:pPr>
            <w:r>
              <w:rPr>
                <w:rFonts w:ascii="Arial" w:cs="Arial" w:eastAsia="Arial" w:hAnsi="Arial"/>
                <w:sz w:val="20"/>
                <w:szCs w:val="20"/>
                <w:color w:val="auto"/>
              </w:rPr>
              <w:t>Address of issuer's principal executive offices:</w:t>
            </w:r>
          </w:p>
        </w:tc>
      </w:tr>
      <w:tr>
        <w:trPr>
          <w:trHeight w:val="505"/>
        </w:trPr>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
          </w:tcPr>
          <w:p>
            <w:pPr>
              <w:spacing w:after="0"/>
              <w:rPr>
                <w:sz w:val="20"/>
                <w:szCs w:val="20"/>
                <w:color w:val="auto"/>
              </w:rPr>
            </w:pPr>
            <w:r>
              <w:rPr>
                <w:rFonts w:ascii="Arial" w:cs="Arial" w:eastAsia="Arial" w:hAnsi="Arial"/>
                <w:sz w:val="22"/>
                <w:szCs w:val="22"/>
                <w:color w:val="auto"/>
              </w:rPr>
              <w:t>500 West Texas, Suite 1200</w:t>
            </w:r>
          </w:p>
        </w:tc>
      </w:tr>
      <w:tr>
        <w:trPr>
          <w:trHeight w:val="476"/>
        </w:trPr>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Midland, TX 79701</w:t>
            </w:r>
          </w:p>
        </w:tc>
        <w:tc>
          <w:tcPr>
            <w:tcW w:w="1120" w:type="dxa"/>
            <w:vAlign w:val="bottom"/>
          </w:tcPr>
          <w:p>
            <w:pPr>
              <w:spacing w:after="0"/>
              <w:rPr>
                <w:sz w:val="24"/>
                <w:szCs w:val="24"/>
                <w:color w:val="auto"/>
              </w:rPr>
            </w:pPr>
          </w:p>
        </w:tc>
      </w:tr>
      <w:tr>
        <w:trPr>
          <w:trHeight w:val="470"/>
        </w:trPr>
        <w:tc>
          <w:tcPr>
            <w:tcW w:w="1040" w:type="dxa"/>
            <w:vAlign w:val="bottom"/>
          </w:tcPr>
          <w:p>
            <w:pPr>
              <w:ind w:left="100"/>
              <w:spacing w:after="0"/>
              <w:rPr>
                <w:sz w:val="20"/>
                <w:szCs w:val="20"/>
                <w:color w:val="auto"/>
              </w:rPr>
            </w:pPr>
            <w:r>
              <w:rPr>
                <w:rFonts w:ascii="Arial" w:cs="Arial" w:eastAsia="Arial" w:hAnsi="Arial"/>
                <w:sz w:val="20"/>
                <w:szCs w:val="20"/>
                <w:color w:val="auto"/>
              </w:rPr>
              <w:t>Item 2.</w:t>
            </w:r>
          </w:p>
        </w:tc>
        <w:tc>
          <w:tcPr>
            <w:tcW w:w="540" w:type="dxa"/>
            <w:vAlign w:val="bottom"/>
          </w:tcPr>
          <w:p>
            <w:pPr>
              <w:ind w:left="80"/>
              <w:spacing w:after="0"/>
              <w:rPr>
                <w:sz w:val="20"/>
                <w:szCs w:val="20"/>
                <w:color w:val="auto"/>
              </w:rPr>
            </w:pPr>
            <w:r>
              <w:rPr>
                <w:rFonts w:ascii="Arial" w:cs="Arial" w:eastAsia="Arial" w:hAnsi="Arial"/>
                <w:sz w:val="20"/>
                <w:szCs w:val="20"/>
                <w:color w:val="auto"/>
              </w:rPr>
              <w:t>(a).</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
          </w:tcPr>
          <w:p>
            <w:pPr>
              <w:spacing w:after="0"/>
              <w:rPr>
                <w:sz w:val="20"/>
                <w:szCs w:val="20"/>
                <w:color w:val="auto"/>
              </w:rPr>
            </w:pPr>
            <w:r>
              <w:rPr>
                <w:rFonts w:ascii="Arial" w:cs="Arial" w:eastAsia="Arial" w:hAnsi="Arial"/>
                <w:sz w:val="20"/>
                <w:szCs w:val="20"/>
                <w:color w:val="auto"/>
              </w:rPr>
              <w:t>Name of person filing:</w:t>
            </w:r>
          </w:p>
        </w:tc>
      </w:tr>
      <w:tr>
        <w:trPr>
          <w:trHeight w:val="496"/>
        </w:trPr>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Cardinal Capital Management, LLC</w:t>
            </w:r>
          </w:p>
        </w:tc>
        <w:tc>
          <w:tcPr>
            <w:tcW w:w="1120" w:type="dxa"/>
            <w:vAlign w:val="bottom"/>
          </w:tcPr>
          <w:p>
            <w:pPr>
              <w:spacing w:after="0"/>
              <w:rPr>
                <w:sz w:val="24"/>
                <w:szCs w:val="24"/>
                <w:color w:val="auto"/>
              </w:rPr>
            </w:pPr>
          </w:p>
        </w:tc>
      </w:tr>
      <w:tr>
        <w:trPr>
          <w:trHeight w:val="470"/>
        </w:trPr>
        <w:tc>
          <w:tcPr>
            <w:tcW w:w="104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20"/>
                <w:szCs w:val="20"/>
                <w:color w:val="auto"/>
              </w:rPr>
              <w:t>(b).</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
          </w:tcPr>
          <w:p>
            <w:pPr>
              <w:spacing w:after="0"/>
              <w:rPr>
                <w:sz w:val="20"/>
                <w:szCs w:val="20"/>
                <w:color w:val="auto"/>
              </w:rPr>
            </w:pPr>
            <w:r>
              <w:rPr>
                <w:rFonts w:ascii="Arial" w:cs="Arial" w:eastAsia="Arial" w:hAnsi="Arial"/>
                <w:sz w:val="20"/>
                <w:szCs w:val="20"/>
                <w:color w:val="auto"/>
              </w:rPr>
              <w:t>Address or principal business office or, if none, residence:</w:t>
            </w:r>
          </w:p>
        </w:tc>
      </w:tr>
      <w:tr>
        <w:trPr>
          <w:trHeight w:val="474"/>
        </w:trPr>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
          </w:tcPr>
          <w:p>
            <w:pPr>
              <w:spacing w:after="0"/>
              <w:rPr>
                <w:sz w:val="20"/>
                <w:szCs w:val="20"/>
                <w:color w:val="auto"/>
              </w:rPr>
            </w:pPr>
            <w:r>
              <w:rPr>
                <w:rFonts w:ascii="Arial" w:cs="Arial" w:eastAsia="Arial" w:hAnsi="Arial"/>
                <w:sz w:val="22"/>
                <w:szCs w:val="22"/>
                <w:color w:val="auto"/>
              </w:rPr>
              <w:t>Four Greenwich Office Park</w:t>
            </w:r>
          </w:p>
        </w:tc>
      </w:tr>
      <w:tr>
        <w:trPr>
          <w:trHeight w:val="264"/>
        </w:trPr>
        <w:tc>
          <w:tcPr>
            <w:tcW w:w="1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Greenwich, Connecticut 06831</w:t>
            </w:r>
          </w:p>
        </w:tc>
        <w:tc>
          <w:tcPr>
            <w:tcW w:w="1120" w:type="dxa"/>
            <w:vAlign w:val="bottom"/>
          </w:tcPr>
          <w:p>
            <w:pPr>
              <w:spacing w:after="0"/>
              <w:rPr>
                <w:sz w:val="22"/>
                <w:szCs w:val="22"/>
                <w:color w:val="auto"/>
              </w:rPr>
            </w:pPr>
          </w:p>
        </w:tc>
      </w:tr>
      <w:tr>
        <w:trPr>
          <w:trHeight w:val="470"/>
        </w:trPr>
        <w:tc>
          <w:tcPr>
            <w:tcW w:w="104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20"/>
                <w:szCs w:val="20"/>
                <w:color w:val="auto"/>
              </w:rPr>
              <w:t>(c).</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
          </w:tcPr>
          <w:p>
            <w:pPr>
              <w:spacing w:after="0"/>
              <w:rPr>
                <w:sz w:val="20"/>
                <w:szCs w:val="20"/>
                <w:color w:val="auto"/>
              </w:rPr>
            </w:pPr>
            <w:r>
              <w:rPr>
                <w:rFonts w:ascii="Arial" w:cs="Arial" w:eastAsia="Arial" w:hAnsi="Arial"/>
                <w:sz w:val="20"/>
                <w:szCs w:val="20"/>
                <w:color w:val="auto"/>
              </w:rPr>
              <w:t>Citizenship:</w:t>
            </w:r>
          </w:p>
        </w:tc>
      </w:tr>
      <w:tr>
        <w:trPr>
          <w:trHeight w:val="491"/>
        </w:trPr>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United States</w:t>
            </w:r>
          </w:p>
        </w:tc>
        <w:tc>
          <w:tcPr>
            <w:tcW w:w="1120" w:type="dxa"/>
            <w:vAlign w:val="bottom"/>
          </w:tcPr>
          <w:p>
            <w:pPr>
              <w:spacing w:after="0"/>
              <w:rPr>
                <w:sz w:val="24"/>
                <w:szCs w:val="24"/>
                <w:color w:val="auto"/>
              </w:rPr>
            </w:pPr>
          </w:p>
        </w:tc>
      </w:tr>
      <w:tr>
        <w:trPr>
          <w:trHeight w:val="475"/>
        </w:trPr>
        <w:tc>
          <w:tcPr>
            <w:tcW w:w="104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20"/>
                <w:szCs w:val="20"/>
                <w:color w:val="auto"/>
              </w:rPr>
              <w:t>(d).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
          </w:tcPr>
          <w:p>
            <w:pPr>
              <w:spacing w:after="0"/>
              <w:rPr>
                <w:sz w:val="20"/>
                <w:szCs w:val="20"/>
                <w:color w:val="auto"/>
              </w:rPr>
            </w:pPr>
            <w:r>
              <w:rPr>
                <w:rFonts w:ascii="Arial" w:cs="Arial" w:eastAsia="Arial" w:hAnsi="Arial"/>
                <w:sz w:val="20"/>
                <w:szCs w:val="20"/>
                <w:color w:val="auto"/>
              </w:rPr>
              <w:t>Title of class of securities:</w:t>
            </w:r>
          </w:p>
        </w:tc>
      </w:tr>
      <w:tr>
        <w:trPr>
          <w:trHeight w:val="495"/>
        </w:trPr>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Common Units</w:t>
            </w:r>
          </w:p>
        </w:tc>
        <w:tc>
          <w:tcPr>
            <w:tcW w:w="1120" w:type="dxa"/>
            <w:vAlign w:val="bottom"/>
          </w:tcPr>
          <w:p>
            <w:pPr>
              <w:spacing w:after="0"/>
              <w:rPr>
                <w:sz w:val="24"/>
                <w:szCs w:val="24"/>
                <w:color w:val="auto"/>
              </w:rPr>
            </w:pPr>
          </w:p>
        </w:tc>
      </w:tr>
      <w:tr>
        <w:trPr>
          <w:trHeight w:val="470"/>
        </w:trPr>
        <w:tc>
          <w:tcPr>
            <w:tcW w:w="104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20"/>
                <w:szCs w:val="20"/>
                <w:color w:val="auto"/>
              </w:rPr>
              <w:t>(e).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gridSpan w:val="3"/>
          </w:tcPr>
          <w:p>
            <w:pPr>
              <w:spacing w:after="0"/>
              <w:rPr>
                <w:sz w:val="20"/>
                <w:szCs w:val="20"/>
                <w:color w:val="auto"/>
              </w:rPr>
            </w:pPr>
            <w:r>
              <w:rPr>
                <w:rFonts w:ascii="Arial" w:cs="Arial" w:eastAsia="Arial" w:hAnsi="Arial"/>
                <w:sz w:val="20"/>
                <w:szCs w:val="20"/>
                <w:color w:val="auto"/>
              </w:rPr>
              <w:t>CUSIP No.:</w:t>
            </w:r>
          </w:p>
        </w:tc>
      </w:tr>
      <w:tr>
        <w:trPr>
          <w:trHeight w:val="495"/>
        </w:trPr>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75419T103</w:t>
            </w:r>
          </w:p>
        </w:tc>
        <w:tc>
          <w:tcPr>
            <w:tcW w:w="1120" w:type="dxa"/>
            <w:vAlign w:val="bottom"/>
          </w:tcPr>
          <w:p>
            <w:pPr>
              <w:spacing w:after="0"/>
              <w:rPr>
                <w:sz w:val="24"/>
                <w:szCs w:val="24"/>
                <w:color w:val="auto"/>
              </w:rPr>
            </w:pPr>
          </w:p>
        </w:tc>
      </w:tr>
      <w:tr>
        <w:trPr>
          <w:trHeight w:val="470"/>
        </w:trPr>
        <w:tc>
          <w:tcPr>
            <w:tcW w:w="1040" w:type="dxa"/>
            <w:vAlign w:val="bottom"/>
          </w:tcPr>
          <w:p>
            <w:pPr>
              <w:ind w:left="100"/>
              <w:spacing w:after="0"/>
              <w:rPr>
                <w:sz w:val="20"/>
                <w:szCs w:val="20"/>
                <w:color w:val="auto"/>
              </w:rPr>
            </w:pPr>
            <w:r>
              <w:rPr>
                <w:rFonts w:ascii="Arial" w:cs="Arial" w:eastAsia="Arial" w:hAnsi="Arial"/>
                <w:sz w:val="20"/>
                <w:szCs w:val="20"/>
                <w:color w:val="auto"/>
              </w:rPr>
              <w:t>Item 3.</w:t>
            </w:r>
          </w:p>
        </w:tc>
        <w:tc>
          <w:tcPr>
            <w:tcW w:w="540" w:type="dxa"/>
            <w:vAlign w:val="bottom"/>
          </w:tcPr>
          <w:p>
            <w:pPr>
              <w:spacing w:after="0"/>
              <w:rPr>
                <w:sz w:val="24"/>
                <w:szCs w:val="24"/>
                <w:color w:val="auto"/>
              </w:rPr>
            </w:pPr>
          </w:p>
        </w:tc>
        <w:tc>
          <w:tcPr>
            <w:tcW w:w="9660" w:type="dxa"/>
            <w:vAlign w:val="bottom"/>
            <w:gridSpan w:val="5"/>
          </w:tcPr>
          <w:p>
            <w:pPr>
              <w:ind w:left="100"/>
              <w:spacing w:after="0"/>
              <w:rPr>
                <w:sz w:val="20"/>
                <w:szCs w:val="20"/>
                <w:color w:val="auto"/>
              </w:rPr>
            </w:pPr>
            <w:r>
              <w:rPr>
                <w:rFonts w:ascii="Arial" w:cs="Arial" w:eastAsia="Arial" w:hAnsi="Arial"/>
                <w:sz w:val="20"/>
                <w:szCs w:val="20"/>
                <w:color w:val="auto"/>
                <w:w w:val="96"/>
              </w:rPr>
              <w:t>If This Statement is filed pursuant to §§.240.13d-1(b) or 240.13d-2(b), or (c), check whether the person filing is a</w:t>
            </w:r>
          </w:p>
        </w:tc>
      </w:tr>
      <w:tr>
        <w:trPr>
          <w:trHeight w:val="486"/>
        </w:trPr>
        <w:tc>
          <w:tcPr>
            <w:tcW w:w="104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20"/>
                <w:szCs w:val="20"/>
                <w:color w:val="auto"/>
              </w:rPr>
              <w:t>(a)</w:t>
            </w:r>
          </w:p>
        </w:tc>
        <w:tc>
          <w:tcPr>
            <w:tcW w:w="340" w:type="dxa"/>
            <w:vAlign w:val="bottom"/>
            <w:gridSpan w:val="2"/>
          </w:tcPr>
          <w:p>
            <w:pPr>
              <w:ind w:left="100"/>
              <w:spacing w:after="0"/>
              <w:rPr>
                <w:sz w:val="20"/>
                <w:szCs w:val="20"/>
                <w:color w:val="auto"/>
              </w:rPr>
            </w:pPr>
            <w:r>
              <w:rPr>
                <w:rFonts w:ascii="Arial" w:cs="Arial" w:eastAsia="Arial" w:hAnsi="Arial"/>
                <w:sz w:val="20"/>
                <w:szCs w:val="20"/>
                <w:color w:val="auto"/>
                <w:w w:val="98"/>
              </w:rPr>
              <w:t>[_]</w:t>
            </w:r>
          </w:p>
        </w:tc>
        <w:tc>
          <w:tcPr>
            <w:tcW w:w="9320" w:type="dxa"/>
            <w:vAlign w:val="bottom"/>
            <w:gridSpan w:val="3"/>
          </w:tcPr>
          <w:p>
            <w:pPr>
              <w:ind w:left="340"/>
              <w:spacing w:after="0"/>
              <w:rPr>
                <w:sz w:val="20"/>
                <w:szCs w:val="20"/>
                <w:color w:val="auto"/>
              </w:rPr>
            </w:pPr>
            <w:r>
              <w:rPr>
                <w:rFonts w:ascii="Arial" w:cs="Arial" w:eastAsia="Arial" w:hAnsi="Arial"/>
                <w:sz w:val="20"/>
                <w:szCs w:val="20"/>
                <w:color w:val="auto"/>
              </w:rPr>
              <w:t>Broker or dealer registered under section 15 of the Act (15 U.S.C. 78o).</w:t>
            </w:r>
          </w:p>
        </w:tc>
      </w:tr>
      <w:tr>
        <w:trPr>
          <w:trHeight w:val="486"/>
        </w:trPr>
        <w:tc>
          <w:tcPr>
            <w:tcW w:w="104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20"/>
                <w:szCs w:val="20"/>
                <w:color w:val="auto"/>
              </w:rPr>
              <w:t>(b)</w:t>
            </w:r>
          </w:p>
        </w:tc>
        <w:tc>
          <w:tcPr>
            <w:tcW w:w="340" w:type="dxa"/>
            <w:vAlign w:val="bottom"/>
            <w:gridSpan w:val="2"/>
          </w:tcPr>
          <w:p>
            <w:pPr>
              <w:ind w:left="100"/>
              <w:spacing w:after="0"/>
              <w:rPr>
                <w:sz w:val="20"/>
                <w:szCs w:val="20"/>
                <w:color w:val="auto"/>
              </w:rPr>
            </w:pPr>
            <w:r>
              <w:rPr>
                <w:rFonts w:ascii="Arial" w:cs="Arial" w:eastAsia="Arial" w:hAnsi="Arial"/>
                <w:sz w:val="20"/>
                <w:szCs w:val="20"/>
                <w:color w:val="auto"/>
                <w:w w:val="98"/>
              </w:rPr>
              <w:t>[_]</w:t>
            </w:r>
          </w:p>
        </w:tc>
        <w:tc>
          <w:tcPr>
            <w:tcW w:w="9320" w:type="dxa"/>
            <w:vAlign w:val="bottom"/>
            <w:gridSpan w:val="3"/>
          </w:tcPr>
          <w:p>
            <w:pPr>
              <w:ind w:left="340"/>
              <w:spacing w:after="0"/>
              <w:rPr>
                <w:sz w:val="20"/>
                <w:szCs w:val="20"/>
                <w:color w:val="auto"/>
              </w:rPr>
            </w:pPr>
            <w:r>
              <w:rPr>
                <w:rFonts w:ascii="Arial" w:cs="Arial" w:eastAsia="Arial" w:hAnsi="Arial"/>
                <w:sz w:val="20"/>
                <w:szCs w:val="20"/>
                <w:color w:val="auto"/>
              </w:rPr>
              <w:t>Bank as defined in section 3(a)(6) of the Act (15 U.S.C. 78c).</w:t>
            </w:r>
          </w:p>
        </w:tc>
      </w:tr>
      <w:tr>
        <w:trPr>
          <w:trHeight w:val="486"/>
        </w:trPr>
        <w:tc>
          <w:tcPr>
            <w:tcW w:w="104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20"/>
                <w:szCs w:val="20"/>
                <w:color w:val="auto"/>
              </w:rPr>
              <w:t>(c)</w:t>
            </w:r>
          </w:p>
        </w:tc>
        <w:tc>
          <w:tcPr>
            <w:tcW w:w="340" w:type="dxa"/>
            <w:vAlign w:val="bottom"/>
            <w:gridSpan w:val="2"/>
          </w:tcPr>
          <w:p>
            <w:pPr>
              <w:ind w:left="100"/>
              <w:spacing w:after="0"/>
              <w:rPr>
                <w:sz w:val="20"/>
                <w:szCs w:val="20"/>
                <w:color w:val="auto"/>
              </w:rPr>
            </w:pPr>
            <w:r>
              <w:rPr>
                <w:rFonts w:ascii="Arial" w:cs="Arial" w:eastAsia="Arial" w:hAnsi="Arial"/>
                <w:sz w:val="20"/>
                <w:szCs w:val="20"/>
                <w:color w:val="auto"/>
                <w:w w:val="98"/>
              </w:rPr>
              <w:t>[_]</w:t>
            </w:r>
          </w:p>
        </w:tc>
        <w:tc>
          <w:tcPr>
            <w:tcW w:w="9320" w:type="dxa"/>
            <w:vAlign w:val="bottom"/>
            <w:gridSpan w:val="3"/>
          </w:tcPr>
          <w:p>
            <w:pPr>
              <w:ind w:left="340"/>
              <w:spacing w:after="0"/>
              <w:rPr>
                <w:sz w:val="20"/>
                <w:szCs w:val="20"/>
                <w:color w:val="auto"/>
              </w:rPr>
            </w:pPr>
            <w:r>
              <w:rPr>
                <w:rFonts w:ascii="Arial" w:cs="Arial" w:eastAsia="Arial" w:hAnsi="Arial"/>
                <w:sz w:val="20"/>
                <w:szCs w:val="20"/>
                <w:color w:val="auto"/>
              </w:rPr>
              <w:t>Insurance company as defined in section 3(a)(19) of the Act (15 U.S.C. 78c).</w:t>
            </w:r>
          </w:p>
        </w:tc>
      </w:tr>
      <w:tr>
        <w:trPr>
          <w:trHeight w:val="486"/>
        </w:trPr>
        <w:tc>
          <w:tcPr>
            <w:tcW w:w="104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20"/>
                <w:szCs w:val="20"/>
                <w:color w:val="auto"/>
              </w:rPr>
              <w:t>(d)</w:t>
            </w:r>
          </w:p>
        </w:tc>
        <w:tc>
          <w:tcPr>
            <w:tcW w:w="340" w:type="dxa"/>
            <w:vAlign w:val="bottom"/>
            <w:gridSpan w:val="2"/>
          </w:tcPr>
          <w:p>
            <w:pPr>
              <w:ind w:left="100"/>
              <w:spacing w:after="0"/>
              <w:rPr>
                <w:sz w:val="20"/>
                <w:szCs w:val="20"/>
                <w:color w:val="auto"/>
              </w:rPr>
            </w:pPr>
            <w:r>
              <w:rPr>
                <w:rFonts w:ascii="Arial" w:cs="Arial" w:eastAsia="Arial" w:hAnsi="Arial"/>
                <w:sz w:val="20"/>
                <w:szCs w:val="20"/>
                <w:color w:val="auto"/>
                <w:w w:val="98"/>
              </w:rPr>
              <w:t>[_]</w:t>
            </w:r>
          </w:p>
        </w:tc>
        <w:tc>
          <w:tcPr>
            <w:tcW w:w="9320" w:type="dxa"/>
            <w:vAlign w:val="bottom"/>
            <w:gridSpan w:val="3"/>
          </w:tcPr>
          <w:p>
            <w:pPr>
              <w:ind w:left="340"/>
              <w:spacing w:after="0"/>
              <w:rPr>
                <w:sz w:val="20"/>
                <w:szCs w:val="20"/>
                <w:color w:val="auto"/>
              </w:rPr>
            </w:pPr>
            <w:r>
              <w:rPr>
                <w:rFonts w:ascii="Arial" w:cs="Arial" w:eastAsia="Arial" w:hAnsi="Arial"/>
                <w:sz w:val="20"/>
                <w:szCs w:val="20"/>
                <w:color w:val="auto"/>
                <w:w w:val="94"/>
              </w:rPr>
              <w:t>Investment company registered under section 8 of the Investment Company Act of 1940 (15 U.S.C. 80a-8).</w:t>
            </w:r>
          </w:p>
        </w:tc>
      </w:tr>
      <w:tr>
        <w:trPr>
          <w:trHeight w:val="486"/>
        </w:trPr>
        <w:tc>
          <w:tcPr>
            <w:tcW w:w="104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20"/>
                <w:szCs w:val="20"/>
                <w:color w:val="auto"/>
              </w:rPr>
              <w:t>(e)</w:t>
            </w:r>
          </w:p>
        </w:tc>
        <w:tc>
          <w:tcPr>
            <w:tcW w:w="340" w:type="dxa"/>
            <w:vAlign w:val="bottom"/>
            <w:gridSpan w:val="2"/>
          </w:tcPr>
          <w:p>
            <w:pPr>
              <w:ind w:left="100"/>
              <w:spacing w:after="0"/>
              <w:rPr>
                <w:sz w:val="20"/>
                <w:szCs w:val="20"/>
                <w:color w:val="auto"/>
              </w:rPr>
            </w:pPr>
            <w:r>
              <w:rPr>
                <w:rFonts w:ascii="Arial" w:cs="Arial" w:eastAsia="Arial" w:hAnsi="Arial"/>
                <w:sz w:val="20"/>
                <w:szCs w:val="20"/>
                <w:color w:val="auto"/>
              </w:rPr>
              <w:t>[x]</w:t>
            </w:r>
          </w:p>
        </w:tc>
        <w:tc>
          <w:tcPr>
            <w:tcW w:w="9320" w:type="dxa"/>
            <w:vAlign w:val="bottom"/>
            <w:gridSpan w:val="3"/>
          </w:tcPr>
          <w:p>
            <w:pPr>
              <w:ind w:left="340"/>
              <w:spacing w:after="0"/>
              <w:rPr>
                <w:sz w:val="20"/>
                <w:szCs w:val="20"/>
                <w:color w:val="auto"/>
              </w:rPr>
            </w:pPr>
            <w:r>
              <w:rPr>
                <w:rFonts w:ascii="Arial" w:cs="Arial" w:eastAsia="Arial" w:hAnsi="Arial"/>
                <w:sz w:val="20"/>
                <w:szCs w:val="20"/>
                <w:color w:val="auto"/>
              </w:rPr>
              <w:t>An investment adviser in accordance with § 240.13d-1(b)(1)(ii)(E);</w:t>
            </w:r>
          </w:p>
        </w:tc>
      </w:tr>
      <w:tr>
        <w:trPr>
          <w:trHeight w:val="486"/>
        </w:trPr>
        <w:tc>
          <w:tcPr>
            <w:tcW w:w="104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20"/>
                <w:szCs w:val="20"/>
                <w:color w:val="auto"/>
              </w:rPr>
              <w:t>(f)</w:t>
            </w:r>
          </w:p>
        </w:tc>
        <w:tc>
          <w:tcPr>
            <w:tcW w:w="340" w:type="dxa"/>
            <w:vAlign w:val="bottom"/>
            <w:gridSpan w:val="2"/>
          </w:tcPr>
          <w:p>
            <w:pPr>
              <w:ind w:left="100"/>
              <w:spacing w:after="0"/>
              <w:rPr>
                <w:sz w:val="20"/>
                <w:szCs w:val="20"/>
                <w:color w:val="auto"/>
              </w:rPr>
            </w:pPr>
            <w:r>
              <w:rPr>
                <w:rFonts w:ascii="Arial" w:cs="Arial" w:eastAsia="Arial" w:hAnsi="Arial"/>
                <w:sz w:val="20"/>
                <w:szCs w:val="20"/>
                <w:color w:val="auto"/>
                <w:w w:val="98"/>
              </w:rPr>
              <w:t>[_]</w:t>
            </w:r>
          </w:p>
        </w:tc>
        <w:tc>
          <w:tcPr>
            <w:tcW w:w="9320" w:type="dxa"/>
            <w:vAlign w:val="bottom"/>
            <w:gridSpan w:val="3"/>
          </w:tcPr>
          <w:p>
            <w:pPr>
              <w:ind w:left="340"/>
              <w:spacing w:after="0"/>
              <w:rPr>
                <w:sz w:val="20"/>
                <w:szCs w:val="20"/>
                <w:color w:val="auto"/>
              </w:rPr>
            </w:pPr>
            <w:r>
              <w:rPr>
                <w:rFonts w:ascii="Arial" w:cs="Arial" w:eastAsia="Arial" w:hAnsi="Arial"/>
                <w:sz w:val="20"/>
                <w:szCs w:val="20"/>
                <w:color w:val="auto"/>
              </w:rPr>
              <w:t>An employee benefit plan or endowment fund in accordance with § 240.13d-1(b)(1)(ii)(F);</w:t>
            </w:r>
          </w:p>
        </w:tc>
      </w:tr>
      <w:tr>
        <w:trPr>
          <w:trHeight w:val="486"/>
        </w:trPr>
        <w:tc>
          <w:tcPr>
            <w:tcW w:w="104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20"/>
                <w:szCs w:val="20"/>
                <w:color w:val="auto"/>
              </w:rPr>
              <w:t>(g)</w:t>
            </w:r>
          </w:p>
        </w:tc>
        <w:tc>
          <w:tcPr>
            <w:tcW w:w="340" w:type="dxa"/>
            <w:vAlign w:val="bottom"/>
            <w:gridSpan w:val="2"/>
          </w:tcPr>
          <w:p>
            <w:pPr>
              <w:ind w:left="100"/>
              <w:spacing w:after="0"/>
              <w:rPr>
                <w:sz w:val="20"/>
                <w:szCs w:val="20"/>
                <w:color w:val="auto"/>
              </w:rPr>
            </w:pPr>
            <w:r>
              <w:rPr>
                <w:rFonts w:ascii="Arial" w:cs="Arial" w:eastAsia="Arial" w:hAnsi="Arial"/>
                <w:sz w:val="20"/>
                <w:szCs w:val="20"/>
                <w:color w:val="auto"/>
                <w:w w:val="98"/>
              </w:rPr>
              <w:t>[_]</w:t>
            </w:r>
          </w:p>
        </w:tc>
        <w:tc>
          <w:tcPr>
            <w:tcW w:w="9320" w:type="dxa"/>
            <w:vAlign w:val="bottom"/>
            <w:gridSpan w:val="3"/>
          </w:tcPr>
          <w:p>
            <w:pPr>
              <w:ind w:left="340"/>
              <w:spacing w:after="0"/>
              <w:rPr>
                <w:sz w:val="20"/>
                <w:szCs w:val="20"/>
                <w:color w:val="auto"/>
              </w:rPr>
            </w:pPr>
            <w:r>
              <w:rPr>
                <w:rFonts w:ascii="Arial" w:cs="Arial" w:eastAsia="Arial" w:hAnsi="Arial"/>
                <w:sz w:val="20"/>
                <w:szCs w:val="20"/>
                <w:color w:val="auto"/>
              </w:rPr>
              <w:t>A parent holding company or control person in accordance with §240.13d-1(b)(1)(ii)(G);</w:t>
            </w:r>
          </w:p>
        </w:tc>
      </w:tr>
      <w:tr>
        <w:trPr>
          <w:trHeight w:val="486"/>
        </w:trPr>
        <w:tc>
          <w:tcPr>
            <w:tcW w:w="104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20"/>
                <w:szCs w:val="20"/>
                <w:color w:val="auto"/>
              </w:rPr>
              <w:t>(h)</w:t>
            </w:r>
          </w:p>
        </w:tc>
        <w:tc>
          <w:tcPr>
            <w:tcW w:w="340" w:type="dxa"/>
            <w:vAlign w:val="bottom"/>
            <w:gridSpan w:val="2"/>
          </w:tcPr>
          <w:p>
            <w:pPr>
              <w:ind w:left="100"/>
              <w:spacing w:after="0"/>
              <w:rPr>
                <w:sz w:val="20"/>
                <w:szCs w:val="20"/>
                <w:color w:val="auto"/>
              </w:rPr>
            </w:pPr>
            <w:r>
              <w:rPr>
                <w:rFonts w:ascii="Arial" w:cs="Arial" w:eastAsia="Arial" w:hAnsi="Arial"/>
                <w:sz w:val="20"/>
                <w:szCs w:val="20"/>
                <w:color w:val="auto"/>
                <w:w w:val="98"/>
              </w:rPr>
              <w:t>[_]</w:t>
            </w:r>
          </w:p>
        </w:tc>
        <w:tc>
          <w:tcPr>
            <w:tcW w:w="9320" w:type="dxa"/>
            <w:vAlign w:val="bottom"/>
            <w:gridSpan w:val="3"/>
          </w:tcPr>
          <w:p>
            <w:pPr>
              <w:ind w:left="340"/>
              <w:spacing w:after="0"/>
              <w:rPr>
                <w:sz w:val="20"/>
                <w:szCs w:val="20"/>
                <w:color w:val="auto"/>
              </w:rPr>
            </w:pPr>
            <w:r>
              <w:rPr>
                <w:rFonts w:ascii="Arial" w:cs="Arial" w:eastAsia="Arial" w:hAnsi="Arial"/>
                <w:sz w:val="20"/>
                <w:szCs w:val="20"/>
                <w:color w:val="auto"/>
                <w:w w:val="98"/>
              </w:rPr>
              <w:t>A savings association as defined in Section 3(b) of the Federal Deposit Insurance Act (12 U.S.C.1813);</w:t>
            </w:r>
          </w:p>
        </w:tc>
      </w:tr>
      <w:tr>
        <w:trPr>
          <w:trHeight w:val="465"/>
        </w:trPr>
        <w:tc>
          <w:tcPr>
            <w:tcW w:w="104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20"/>
                <w:szCs w:val="20"/>
                <w:color w:val="auto"/>
              </w:rPr>
              <w:t>(i)</w:t>
            </w:r>
          </w:p>
        </w:tc>
        <w:tc>
          <w:tcPr>
            <w:tcW w:w="340" w:type="dxa"/>
            <w:vAlign w:val="bottom"/>
            <w:gridSpan w:val="2"/>
          </w:tcPr>
          <w:p>
            <w:pPr>
              <w:ind w:left="100"/>
              <w:spacing w:after="0"/>
              <w:rPr>
                <w:sz w:val="20"/>
                <w:szCs w:val="20"/>
                <w:color w:val="auto"/>
              </w:rPr>
            </w:pPr>
            <w:r>
              <w:rPr>
                <w:rFonts w:ascii="Arial" w:cs="Arial" w:eastAsia="Arial" w:hAnsi="Arial"/>
                <w:sz w:val="20"/>
                <w:szCs w:val="20"/>
                <w:color w:val="auto"/>
                <w:w w:val="98"/>
              </w:rPr>
              <w:t>[_]</w:t>
            </w:r>
          </w:p>
        </w:tc>
        <w:tc>
          <w:tcPr>
            <w:tcW w:w="9320" w:type="dxa"/>
            <w:vAlign w:val="bottom"/>
            <w:gridSpan w:val="3"/>
          </w:tcPr>
          <w:p>
            <w:pPr>
              <w:ind w:left="340"/>
              <w:spacing w:after="0"/>
              <w:rPr>
                <w:sz w:val="20"/>
                <w:szCs w:val="20"/>
                <w:color w:val="auto"/>
              </w:rPr>
            </w:pPr>
            <w:r>
              <w:rPr>
                <w:rFonts w:ascii="Arial" w:cs="Arial" w:eastAsia="Arial" w:hAnsi="Arial"/>
                <w:sz w:val="20"/>
                <w:szCs w:val="20"/>
                <w:color w:val="auto"/>
                <w:w w:val="96"/>
              </w:rPr>
              <w:t>A church plan that is excluded from the definition of an investment company under section 3(c)(14) of the</w:t>
            </w:r>
          </w:p>
        </w:tc>
      </w:tr>
      <w:tr>
        <w:trPr>
          <w:trHeight w:val="250"/>
        </w:trPr>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gridSpan w:val="3"/>
          </w:tcPr>
          <w:p>
            <w:pPr>
              <w:ind w:left="340"/>
              <w:spacing w:after="0"/>
              <w:rPr>
                <w:sz w:val="20"/>
                <w:szCs w:val="20"/>
                <w:color w:val="auto"/>
              </w:rPr>
            </w:pPr>
            <w:r>
              <w:rPr>
                <w:rFonts w:ascii="Arial" w:cs="Arial" w:eastAsia="Arial" w:hAnsi="Arial"/>
                <w:sz w:val="20"/>
                <w:szCs w:val="20"/>
                <w:color w:val="auto"/>
              </w:rPr>
              <w:t>Investment Company Act of 1940 (15 U.S.C. 80a-3);</w:t>
            </w:r>
          </w:p>
        </w:tc>
      </w:tr>
      <w:tr>
        <w:trPr>
          <w:trHeight w:val="473"/>
        </w:trPr>
        <w:tc>
          <w:tcPr>
            <w:tcW w:w="104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20"/>
                <w:szCs w:val="20"/>
                <w:color w:val="auto"/>
              </w:rPr>
              <w:t>(j)</w:t>
            </w:r>
          </w:p>
        </w:tc>
        <w:tc>
          <w:tcPr>
            <w:tcW w:w="340" w:type="dxa"/>
            <w:vAlign w:val="bottom"/>
            <w:gridSpan w:val="2"/>
          </w:tcPr>
          <w:p>
            <w:pPr>
              <w:ind w:left="100"/>
              <w:spacing w:after="0"/>
              <w:rPr>
                <w:sz w:val="20"/>
                <w:szCs w:val="20"/>
                <w:color w:val="auto"/>
              </w:rPr>
            </w:pPr>
            <w:r>
              <w:rPr>
                <w:rFonts w:ascii="Arial" w:cs="Arial" w:eastAsia="Arial" w:hAnsi="Arial"/>
                <w:sz w:val="20"/>
                <w:szCs w:val="20"/>
                <w:color w:val="auto"/>
                <w:w w:val="98"/>
              </w:rPr>
              <w:t>[_]</w:t>
            </w:r>
          </w:p>
        </w:tc>
        <w:tc>
          <w:tcPr>
            <w:tcW w:w="9320" w:type="dxa"/>
            <w:vAlign w:val="bottom"/>
            <w:gridSpan w:val="3"/>
          </w:tcPr>
          <w:p>
            <w:pPr>
              <w:ind w:left="340"/>
              <w:spacing w:after="0"/>
              <w:rPr>
                <w:sz w:val="20"/>
                <w:szCs w:val="20"/>
                <w:color w:val="auto"/>
              </w:rPr>
            </w:pPr>
            <w:r>
              <w:rPr>
                <w:rFonts w:ascii="Arial" w:cs="Arial" w:eastAsia="Arial" w:hAnsi="Arial"/>
                <w:sz w:val="20"/>
                <w:szCs w:val="20"/>
                <w:color w:val="auto"/>
              </w:rPr>
              <w:t>A non-U.S. institution in accordance with §240.13d-1(b)(1)(ii)(J);</w:t>
            </w:r>
          </w:p>
        </w:tc>
      </w:tr>
      <w:tr>
        <w:trPr>
          <w:trHeight w:val="465"/>
        </w:trPr>
        <w:tc>
          <w:tcPr>
            <w:tcW w:w="104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20"/>
                <w:szCs w:val="20"/>
                <w:color w:val="auto"/>
              </w:rPr>
              <w:t>(k)</w:t>
            </w:r>
          </w:p>
        </w:tc>
        <w:tc>
          <w:tcPr>
            <w:tcW w:w="340" w:type="dxa"/>
            <w:vAlign w:val="bottom"/>
            <w:gridSpan w:val="2"/>
          </w:tcPr>
          <w:p>
            <w:pPr>
              <w:ind w:left="100"/>
              <w:spacing w:after="0"/>
              <w:rPr>
                <w:sz w:val="20"/>
                <w:szCs w:val="20"/>
                <w:color w:val="auto"/>
              </w:rPr>
            </w:pPr>
            <w:r>
              <w:rPr>
                <w:rFonts w:ascii="Arial" w:cs="Arial" w:eastAsia="Arial" w:hAnsi="Arial"/>
                <w:sz w:val="20"/>
                <w:szCs w:val="20"/>
                <w:color w:val="auto"/>
                <w:w w:val="98"/>
              </w:rPr>
              <w:t>[_]</w:t>
            </w:r>
          </w:p>
        </w:tc>
        <w:tc>
          <w:tcPr>
            <w:tcW w:w="9320" w:type="dxa"/>
            <w:vAlign w:val="bottom"/>
            <w:gridSpan w:val="3"/>
          </w:tcPr>
          <w:p>
            <w:pPr>
              <w:ind w:left="340"/>
              <w:spacing w:after="0"/>
              <w:rPr>
                <w:sz w:val="20"/>
                <w:szCs w:val="20"/>
                <w:color w:val="auto"/>
              </w:rPr>
            </w:pPr>
            <w:r>
              <w:rPr>
                <w:rFonts w:ascii="Arial" w:cs="Arial" w:eastAsia="Arial" w:hAnsi="Arial"/>
                <w:sz w:val="20"/>
                <w:szCs w:val="20"/>
                <w:color w:val="auto"/>
              </w:rPr>
              <w:t>Group, in accordance with §240.13d-1(b)(1)(ii)(K). If filing as a non-U.S. institution in accordance with</w:t>
            </w:r>
          </w:p>
        </w:tc>
      </w:tr>
      <w:tr>
        <w:trPr>
          <w:trHeight w:val="250"/>
        </w:trPr>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20" w:type="dxa"/>
            <w:vAlign w:val="bottom"/>
            <w:gridSpan w:val="3"/>
          </w:tcPr>
          <w:p>
            <w:pPr>
              <w:ind w:left="340"/>
              <w:spacing w:after="0"/>
              <w:rPr>
                <w:sz w:val="20"/>
                <w:szCs w:val="20"/>
                <w:color w:val="auto"/>
              </w:rPr>
            </w:pPr>
            <w:r>
              <w:rPr>
                <w:rFonts w:ascii="Arial" w:cs="Arial" w:eastAsia="Arial" w:hAnsi="Arial"/>
                <w:sz w:val="20"/>
                <w:szCs w:val="20"/>
                <w:color w:val="auto"/>
              </w:rPr>
              <w:t>§240.13d-1(b)(1)(ii)(J), please specify the type of institution:</w:t>
            </w:r>
          </w:p>
        </w:tc>
      </w:tr>
      <w:tr>
        <w:trPr>
          <w:trHeight w:val="468"/>
        </w:trPr>
        <w:tc>
          <w:tcPr>
            <w:tcW w:w="1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2" w:right="339" w:bottom="690" w:gutter="0" w:footer="0" w:header="0"/>
        </w:sectPr>
      </w:pPr>
    </w:p>
    <w:bookmarkStart w:id="3" w:name="page4"/>
    <w:bookmarkEnd w:id="3"/>
    <w:p>
      <w:pPr>
        <w:spacing w:after="0"/>
        <w:tabs>
          <w:tab w:leader="none" w:pos="100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8"/>
          <w:szCs w:val="18"/>
          <w:color w:val="auto"/>
        </w:rPr>
        <w:t>Ownership.</w:t>
      </w:r>
    </w:p>
    <w:p>
      <w:pPr>
        <w:spacing w:after="0" w:line="243" w:lineRule="exact"/>
        <w:rPr>
          <w:sz w:val="20"/>
          <w:szCs w:val="20"/>
          <w:color w:val="auto"/>
        </w:rPr>
      </w:pPr>
    </w:p>
    <w:p>
      <w:pPr>
        <w:ind w:left="1020" w:right="640"/>
        <w:spacing w:after="0" w:line="260" w:lineRule="auto"/>
        <w:rPr>
          <w:sz w:val="20"/>
          <w:szCs w:val="20"/>
          <w:color w:val="auto"/>
        </w:rPr>
      </w:pPr>
      <w:r>
        <w:rPr>
          <w:rFonts w:ascii="Arial" w:cs="Arial" w:eastAsia="Arial" w:hAnsi="Arial"/>
          <w:sz w:val="20"/>
          <w:szCs w:val="20"/>
          <w:color w:val="auto"/>
        </w:rPr>
        <w:t>Provide the following information regarding the aggregate number and percentage of the class of securities of the issuer identified in Item 1.</w:t>
      </w:r>
    </w:p>
    <w:p>
      <w:pPr>
        <w:spacing w:after="0" w:line="204" w:lineRule="exact"/>
        <w:rPr>
          <w:sz w:val="20"/>
          <w:szCs w:val="20"/>
          <w:color w:val="auto"/>
        </w:rPr>
      </w:pPr>
    </w:p>
    <w:p>
      <w:pPr>
        <w:ind w:left="1580" w:hanging="562"/>
        <w:spacing w:after="0"/>
        <w:tabs>
          <w:tab w:leader="none" w:pos="1580" w:val="left"/>
        </w:tabs>
        <w:numPr>
          <w:ilvl w:val="0"/>
          <w:numId w:val="6"/>
        </w:numPr>
        <w:rPr>
          <w:rFonts w:ascii="Arial" w:cs="Arial" w:eastAsia="Arial" w:hAnsi="Arial"/>
          <w:sz w:val="20"/>
          <w:szCs w:val="20"/>
          <w:color w:val="auto"/>
        </w:rPr>
      </w:pPr>
      <w:r>
        <w:rPr>
          <w:rFonts w:ascii="Arial" w:cs="Arial" w:eastAsia="Arial" w:hAnsi="Arial"/>
          <w:sz w:val="20"/>
          <w:szCs w:val="20"/>
          <w:color w:val="auto"/>
        </w:rPr>
        <w:t>Amount beneficially owned: 0</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55" w:lineRule="exact"/>
        <w:rPr>
          <w:rFonts w:ascii="Arial" w:cs="Arial" w:eastAsia="Arial" w:hAnsi="Arial"/>
          <w:sz w:val="20"/>
          <w:szCs w:val="20"/>
          <w:color w:val="auto"/>
        </w:rPr>
      </w:pPr>
    </w:p>
    <w:p>
      <w:pPr>
        <w:ind w:left="1580" w:hanging="562"/>
        <w:spacing w:after="0"/>
        <w:tabs>
          <w:tab w:leader="none" w:pos="1580" w:val="left"/>
        </w:tabs>
        <w:numPr>
          <w:ilvl w:val="0"/>
          <w:numId w:val="6"/>
        </w:numPr>
        <w:rPr>
          <w:rFonts w:ascii="Arial" w:cs="Arial" w:eastAsia="Arial" w:hAnsi="Arial"/>
          <w:sz w:val="20"/>
          <w:szCs w:val="20"/>
          <w:color w:val="auto"/>
        </w:rPr>
      </w:pPr>
      <w:r>
        <w:rPr>
          <w:rFonts w:ascii="Arial" w:cs="Arial" w:eastAsia="Arial" w:hAnsi="Arial"/>
          <w:sz w:val="20"/>
          <w:szCs w:val="20"/>
          <w:color w:val="auto"/>
        </w:rPr>
        <w:t>Percent of class: 0.0%</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55" w:lineRule="exact"/>
        <w:rPr>
          <w:rFonts w:ascii="Arial" w:cs="Arial" w:eastAsia="Arial" w:hAnsi="Arial"/>
          <w:sz w:val="20"/>
          <w:szCs w:val="20"/>
          <w:color w:val="auto"/>
        </w:rPr>
      </w:pPr>
    </w:p>
    <w:p>
      <w:pPr>
        <w:ind w:left="1580" w:hanging="562"/>
        <w:spacing w:after="0"/>
        <w:tabs>
          <w:tab w:leader="none" w:pos="1580" w:val="left"/>
        </w:tabs>
        <w:numPr>
          <w:ilvl w:val="0"/>
          <w:numId w:val="6"/>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-923290</wp:posOffset>
            </wp:positionV>
            <wp:extent cx="6129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-297815</wp:posOffset>
            </wp:positionV>
            <wp:extent cx="6129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1580" w:type="dxa"/>
        <w:tblCellMar>
          <w:top w:w="0" w:type="dxa"/>
          <w:left w:w="0" w:type="dxa"/>
          <w:bottom w:w="0" w:type="dxa"/>
          <w:right w:w="0" w:type="dxa"/>
        </w:tblCellMar>
      </w:tblPr>
      <w:tr>
        <w:trPr>
          <w:trHeight w:val="255"/>
        </w:trPr>
        <w:tc>
          <w:tcPr>
            <w:tcW w:w="440" w:type="dxa"/>
            <w:vAlign w:val="bottom"/>
          </w:tcPr>
          <w:p>
            <w:pPr>
              <w:spacing w:after="0"/>
              <w:rPr>
                <w:sz w:val="20"/>
                <w:szCs w:val="20"/>
                <w:color w:val="auto"/>
              </w:rPr>
            </w:pPr>
            <w:r>
              <w:rPr>
                <w:rFonts w:ascii="Arial" w:cs="Arial" w:eastAsia="Arial" w:hAnsi="Arial"/>
                <w:sz w:val="20"/>
                <w:szCs w:val="20"/>
                <w:color w:val="auto"/>
              </w:rPr>
              <w:t>(i)</w:t>
            </w:r>
          </w:p>
        </w:tc>
        <w:tc>
          <w:tcPr>
            <w:tcW w:w="6660" w:type="dxa"/>
            <w:vAlign w:val="bottom"/>
          </w:tcPr>
          <w:p>
            <w:pPr>
              <w:ind w:left="140"/>
              <w:spacing w:after="0"/>
              <w:rPr>
                <w:sz w:val="20"/>
                <w:szCs w:val="20"/>
                <w:color w:val="auto"/>
              </w:rPr>
            </w:pPr>
            <w:r>
              <w:rPr>
                <w:rFonts w:ascii="Arial" w:cs="Arial" w:eastAsia="Arial" w:hAnsi="Arial"/>
                <w:sz w:val="20"/>
                <w:szCs w:val="20"/>
                <w:color w:val="auto"/>
              </w:rPr>
              <w:t>Sole power to vote or to direct the vote</w:t>
            </w:r>
          </w:p>
        </w:tc>
        <w:tc>
          <w:tcPr>
            <w:tcW w:w="2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r>
      <w:tr>
        <w:trPr>
          <w:trHeight w:val="479"/>
        </w:trPr>
        <w:tc>
          <w:tcPr>
            <w:tcW w:w="440" w:type="dxa"/>
            <w:vAlign w:val="bottom"/>
          </w:tcPr>
          <w:p>
            <w:pPr>
              <w:spacing w:after="0"/>
              <w:rPr>
                <w:sz w:val="20"/>
                <w:szCs w:val="20"/>
                <w:color w:val="auto"/>
              </w:rPr>
            </w:pPr>
            <w:r>
              <w:rPr>
                <w:rFonts w:ascii="Arial" w:cs="Arial" w:eastAsia="Arial" w:hAnsi="Arial"/>
                <w:sz w:val="20"/>
                <w:szCs w:val="20"/>
                <w:color w:val="auto"/>
              </w:rPr>
              <w:t>(ii)</w:t>
            </w:r>
          </w:p>
        </w:tc>
        <w:tc>
          <w:tcPr>
            <w:tcW w:w="6660" w:type="dxa"/>
            <w:vAlign w:val="bottom"/>
          </w:tcPr>
          <w:p>
            <w:pPr>
              <w:ind w:left="140"/>
              <w:spacing w:after="0"/>
              <w:rPr>
                <w:sz w:val="20"/>
                <w:szCs w:val="20"/>
                <w:color w:val="auto"/>
              </w:rPr>
            </w:pPr>
            <w:r>
              <w:rPr>
                <w:rFonts w:ascii="Arial" w:cs="Arial" w:eastAsia="Arial" w:hAnsi="Arial"/>
                <w:sz w:val="20"/>
                <w:szCs w:val="20"/>
                <w:color w:val="auto"/>
              </w:rPr>
              <w:t>Shared power to vote or to direct the vote</w:t>
            </w:r>
          </w:p>
        </w:tc>
        <w:tc>
          <w:tcPr>
            <w:tcW w:w="2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r>
      <w:tr>
        <w:trPr>
          <w:trHeight w:val="479"/>
        </w:trPr>
        <w:tc>
          <w:tcPr>
            <w:tcW w:w="440" w:type="dxa"/>
            <w:vAlign w:val="bottom"/>
          </w:tcPr>
          <w:p>
            <w:pPr>
              <w:spacing w:after="0"/>
              <w:rPr>
                <w:sz w:val="20"/>
                <w:szCs w:val="20"/>
                <w:color w:val="auto"/>
              </w:rPr>
            </w:pPr>
            <w:r>
              <w:rPr>
                <w:rFonts w:ascii="Arial" w:cs="Arial" w:eastAsia="Arial" w:hAnsi="Arial"/>
                <w:sz w:val="20"/>
                <w:szCs w:val="20"/>
                <w:color w:val="auto"/>
              </w:rPr>
              <w:t>(iii)</w:t>
            </w:r>
          </w:p>
        </w:tc>
        <w:tc>
          <w:tcPr>
            <w:tcW w:w="6660" w:type="dxa"/>
            <w:vAlign w:val="bottom"/>
          </w:tcPr>
          <w:p>
            <w:pPr>
              <w:ind w:left="140"/>
              <w:spacing w:after="0"/>
              <w:rPr>
                <w:sz w:val="20"/>
                <w:szCs w:val="20"/>
                <w:color w:val="auto"/>
              </w:rPr>
            </w:pPr>
            <w:r>
              <w:rPr>
                <w:rFonts w:ascii="Arial" w:cs="Arial" w:eastAsia="Arial" w:hAnsi="Arial"/>
                <w:sz w:val="20"/>
                <w:szCs w:val="20"/>
                <w:color w:val="auto"/>
              </w:rPr>
              <w:t>Sole power to dispose or to direct the disposition of</w:t>
            </w:r>
          </w:p>
        </w:tc>
        <w:tc>
          <w:tcPr>
            <w:tcW w:w="2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r>
      <w:tr>
        <w:trPr>
          <w:trHeight w:val="480"/>
        </w:trPr>
        <w:tc>
          <w:tcPr>
            <w:tcW w:w="440" w:type="dxa"/>
            <w:vAlign w:val="bottom"/>
          </w:tcPr>
          <w:p>
            <w:pPr>
              <w:spacing w:after="0"/>
              <w:rPr>
                <w:sz w:val="20"/>
                <w:szCs w:val="20"/>
                <w:color w:val="auto"/>
              </w:rPr>
            </w:pPr>
            <w:r>
              <w:rPr>
                <w:rFonts w:ascii="Arial" w:cs="Arial" w:eastAsia="Arial" w:hAnsi="Arial"/>
                <w:sz w:val="20"/>
                <w:szCs w:val="20"/>
                <w:color w:val="auto"/>
              </w:rPr>
              <w:t>(iv)</w:t>
            </w:r>
          </w:p>
        </w:tc>
        <w:tc>
          <w:tcPr>
            <w:tcW w:w="6660" w:type="dxa"/>
            <w:vAlign w:val="bottom"/>
          </w:tcPr>
          <w:p>
            <w:pPr>
              <w:ind w:left="140"/>
              <w:spacing w:after="0"/>
              <w:rPr>
                <w:sz w:val="20"/>
                <w:szCs w:val="20"/>
                <w:color w:val="auto"/>
              </w:rPr>
            </w:pPr>
            <w:r>
              <w:rPr>
                <w:rFonts w:ascii="Arial" w:cs="Arial" w:eastAsia="Arial" w:hAnsi="Arial"/>
                <w:sz w:val="20"/>
                <w:szCs w:val="20"/>
                <w:color w:val="auto"/>
              </w:rPr>
              <w:t>Shared power to dispose or to direct the disposition of</w:t>
            </w:r>
          </w:p>
        </w:tc>
        <w:tc>
          <w:tcPr>
            <w:tcW w:w="246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20"/>
                <w:szCs w:val="20"/>
                <w:color w:val="auto"/>
              </w:rPr>
              <w:t>0  .</w:t>
            </w:r>
          </w:p>
        </w:tc>
      </w:tr>
    </w:tbl>
    <w:p>
      <w:pPr>
        <w:spacing w:after="0" w:line="200" w:lineRule="exact"/>
        <w:rPr>
          <w:sz w:val="20"/>
          <w:szCs w:val="20"/>
          <w:color w:val="auto"/>
        </w:rPr>
      </w:pPr>
    </w:p>
    <w:p>
      <w:pPr>
        <w:spacing w:after="0" w:line="26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Instruction: For computations regarding securities which represent a right to acquire an underlying security see §240.13d-3(d)</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(1).</w:t>
      </w:r>
    </w:p>
    <w:p>
      <w:pPr>
        <w:spacing w:after="0" w:line="227"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43" w:lineRule="exact"/>
        <w:rPr>
          <w:sz w:val="20"/>
          <w:szCs w:val="20"/>
          <w:color w:val="auto"/>
        </w:rPr>
      </w:pPr>
    </w:p>
    <w:p>
      <w:pPr>
        <w:ind w:left="1020" w:right="10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294640</wp:posOffset>
            </wp:positionV>
            <wp:extent cx="6489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611505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420" w:top="1189" w:right="339" w:bottom="1440" w:gutter="0" w:footer="0" w:header="0"/>
        </w:sectPr>
      </w:pPr>
    </w:p>
    <w:bookmarkStart w:id="4" w:name="page5"/>
    <w:bookmarkEnd w:id="4"/>
    <w:p>
      <w:pPr>
        <w:spacing w:after="0"/>
        <w:tabs>
          <w:tab w:leader="none" w:pos="112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8"/>
          <w:szCs w:val="18"/>
          <w:color w:val="auto"/>
        </w:rPr>
        <w:t>Ownership of More Than Five Percent on Behalf of Another Person.</w:t>
      </w:r>
    </w:p>
    <w:p>
      <w:pPr>
        <w:spacing w:after="0" w:line="243" w:lineRule="exact"/>
        <w:rPr>
          <w:sz w:val="20"/>
          <w:szCs w:val="20"/>
          <w:color w:val="auto"/>
        </w:rPr>
      </w:pPr>
    </w:p>
    <w:p>
      <w:pPr>
        <w:jc w:val="both"/>
        <w:ind w:left="1140"/>
        <w:spacing w:after="0" w:line="244" w:lineRule="auto"/>
        <w:rPr>
          <w:sz w:val="20"/>
          <w:szCs w:val="20"/>
          <w:color w:val="auto"/>
        </w:rPr>
      </w:pPr>
      <w:r>
        <w:rPr>
          <w:rFonts w:ascii="Arial" w:cs="Arial" w:eastAsia="Arial" w:hAnsi="Arial"/>
          <w:sz w:val="20"/>
          <w:szCs w:val="20"/>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8"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19050</wp:posOffset>
            </wp:positionV>
            <wp:extent cx="641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140" w:right="260" w:hanging="1133"/>
        <w:spacing w:after="0" w:line="260" w:lineRule="auto"/>
        <w:tabs>
          <w:tab w:leader="none" w:pos="112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20"/>
          <w:szCs w:val="20"/>
          <w:color w:val="auto"/>
        </w:rPr>
        <w:t>Identification and Classification of the Subsidiary Which Acquired the Security Being Reported on by the Parent Holding Company or Control Person.</w:t>
      </w:r>
    </w:p>
    <w:p>
      <w:pPr>
        <w:spacing w:after="0" w:line="204" w:lineRule="exact"/>
        <w:rPr>
          <w:sz w:val="20"/>
          <w:szCs w:val="20"/>
          <w:color w:val="auto"/>
        </w:rPr>
      </w:pPr>
    </w:p>
    <w:p>
      <w:pPr>
        <w:jc w:val="both"/>
        <w:ind w:left="1140"/>
        <w:spacing w:after="0" w:line="246" w:lineRule="auto"/>
        <w:rPr>
          <w:sz w:val="20"/>
          <w:szCs w:val="20"/>
          <w:color w:val="auto"/>
        </w:rPr>
      </w:pPr>
      <w:r>
        <w:rPr>
          <w:rFonts w:ascii="Arial" w:cs="Arial" w:eastAsia="Arial" w:hAnsi="Arial"/>
          <w:sz w:val="20"/>
          <w:szCs w:val="20"/>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5"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19050</wp:posOffset>
            </wp:positionV>
            <wp:extent cx="6412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18"/>
          <w:szCs w:val="18"/>
          <w:color w:val="auto"/>
        </w:rPr>
        <w:t>Identification and Classification of Members of the Group.</w:t>
      </w:r>
    </w:p>
    <w:p>
      <w:pPr>
        <w:spacing w:after="0" w:line="243" w:lineRule="exact"/>
        <w:rPr>
          <w:sz w:val="20"/>
          <w:szCs w:val="20"/>
          <w:color w:val="auto"/>
        </w:rPr>
      </w:pPr>
    </w:p>
    <w:p>
      <w:pPr>
        <w:jc w:val="both"/>
        <w:ind w:left="1140" w:hanging="7"/>
        <w:spacing w:after="0" w:line="269" w:lineRule="auto"/>
        <w:rPr>
          <w:sz w:val="20"/>
          <w:szCs w:val="20"/>
          <w:color w:val="auto"/>
        </w:rPr>
      </w:pPr>
      <w:r>
        <w:rPr>
          <w:rFonts w:ascii="Arial" w:cs="Arial" w:eastAsia="Arial" w:hAnsi="Arial"/>
          <w:sz w:val="19"/>
          <w:szCs w:val="19"/>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83"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19050</wp:posOffset>
            </wp:positionV>
            <wp:extent cx="64122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8"/>
          <w:szCs w:val="18"/>
          <w:color w:val="auto"/>
        </w:rPr>
        <w:t>Notice of Dissolution of Group.</w:t>
      </w:r>
    </w:p>
    <w:p>
      <w:pPr>
        <w:spacing w:after="0" w:line="243" w:lineRule="exact"/>
        <w:rPr>
          <w:sz w:val="20"/>
          <w:szCs w:val="20"/>
          <w:color w:val="auto"/>
        </w:rPr>
      </w:pPr>
    </w:p>
    <w:p>
      <w:pPr>
        <w:jc w:val="both"/>
        <w:ind w:left="1140" w:hanging="7"/>
        <w:spacing w:after="0" w:line="250" w:lineRule="auto"/>
        <w:rPr>
          <w:sz w:val="20"/>
          <w:szCs w:val="20"/>
          <w:color w:val="auto"/>
        </w:rPr>
      </w:pPr>
      <w:r>
        <w:rPr>
          <w:rFonts w:ascii="Arial" w:cs="Arial" w:eastAsia="Arial" w:hAnsi="Arial"/>
          <w:sz w:val="20"/>
          <w:szCs w:val="20"/>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19050</wp:posOffset>
            </wp:positionV>
            <wp:extent cx="64122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8"/>
          <w:szCs w:val="18"/>
          <w:color w:val="auto"/>
        </w:rPr>
        <w:t>Certification.</w:t>
      </w:r>
    </w:p>
    <w:p>
      <w:pPr>
        <w:spacing w:after="0" w:line="243" w:lineRule="exact"/>
        <w:rPr>
          <w:sz w:val="20"/>
          <w:szCs w:val="20"/>
          <w:color w:val="auto"/>
        </w:rPr>
      </w:pPr>
    </w:p>
    <w:p>
      <w:pPr>
        <w:ind w:left="1700" w:hanging="561"/>
        <w:spacing w:after="0"/>
        <w:tabs>
          <w:tab w:leader="none" w:pos="17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following certification shall be included if the statement is filed pursuant to §240.13d-1(b).</w:t>
      </w:r>
    </w:p>
    <w:p>
      <w:pPr>
        <w:spacing w:after="0" w:line="229" w:lineRule="exact"/>
        <w:rPr>
          <w:rFonts w:ascii="Arial" w:cs="Arial" w:eastAsia="Arial" w:hAnsi="Arial"/>
          <w:sz w:val="20"/>
          <w:szCs w:val="20"/>
          <w:color w:val="auto"/>
        </w:rPr>
      </w:pPr>
    </w:p>
    <w:p>
      <w:pPr>
        <w:jc w:val="both"/>
        <w:ind w:left="1700"/>
        <w:spacing w:after="0" w:line="244" w:lineRule="auto"/>
        <w:rPr>
          <w:rFonts w:ascii="Arial" w:cs="Arial" w:eastAsia="Arial" w:hAnsi="Arial"/>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888365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960" w:right="4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February 14, 2023</w:t>
      </w:r>
    </w:p>
    <w:p>
      <w:pPr>
        <w:spacing w:after="0" w:line="27" w:lineRule="exact"/>
        <w:rPr>
          <w:sz w:val="20"/>
          <w:szCs w:val="20"/>
          <w:color w:val="auto"/>
        </w:rPr>
      </w:pPr>
    </w:p>
    <w:p>
      <w:pPr>
        <w:ind w:left="818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-143510</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Robert B. Kirkpatrick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798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Robert B. Kirkpatrick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Robert B. Kirkpatrick</w:t>
      </w:r>
    </w:p>
    <w:p>
      <w:pPr>
        <w:spacing w:after="0" w:line="4"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Title: Managing Partner</w:t>
      </w:r>
    </w:p>
    <w:p>
      <w:pPr>
        <w:spacing w:after="0" w:line="200" w:lineRule="exact"/>
        <w:rPr>
          <w:sz w:val="20"/>
          <w:szCs w:val="20"/>
          <w:color w:val="auto"/>
        </w:rPr>
      </w:pPr>
    </w:p>
    <w:p>
      <w:pPr>
        <w:spacing w:after="0" w:line="256"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0"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Note. Schedules filed in paper format shall include a signed original and five copies of the schedule, including all exhibits. See s.240.13d-7 for other parties for whom copies are to be sent.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703" w:right="419" w:bottom="1440" w:gutter="0" w:footer="0" w:header="0"/>
        </w:sectPr>
      </w:pPr>
    </w:p>
    <w:bookmarkStart w:id="6" w:name="page7"/>
    <w:bookmarkEnd w:id="6"/>
    <w:p>
      <w:pPr>
        <w:ind w:left="7460"/>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4940300</wp:posOffset>
            </wp:positionH>
            <wp:positionV relativeFrom="page">
              <wp:posOffset>431800</wp:posOffset>
            </wp:positionV>
            <wp:extent cx="311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8890"/>
                    </a:xfrm>
                    <a:prstGeom prst="rect">
                      <a:avLst/>
                    </a:prstGeom>
                    <a:noFill/>
                  </pic:spPr>
                </pic:pic>
              </a:graphicData>
            </a:graphic>
          </wp:anchor>
        </w:drawing>
        <w:t>Exhibit A</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AGREEMENT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undersigned agree that this Schedule 13G dated February 14, 2023 relating to the Common Units of Rattler Midstream LP shall be filed on behalf of the undersigned.</w:t>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CARDINAL CAPITAL MANAGEMENT, LLC</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1"/>
          <w:szCs w:val="21"/>
          <w:color w:val="auto"/>
        </w:rPr>
        <w:t>Robert B. Kirkpatrick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3"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Robert B. Kirkpatrick</w:t>
      </w:r>
    </w:p>
    <w:p>
      <w:pPr>
        <w:spacing w:after="0" w:line="4"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Title: Managing Partner</w:t>
      </w:r>
    </w:p>
    <w:sectPr>
      <w:pgSz w:w="11900" w:h="16838" w:orient="portrait"/>
      <w:cols w:equalWidth="0" w:num="1">
        <w:col w:w="11240"/>
      </w:cols>
      <w:pgMar w:left="320" w:top="10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5"/>
    </w:lvl>
  </w:abstractNum>
  <w:abstractNum w:abstractNumId="4">
    <w:nsid w:val="507ED7AB"/>
    <w:multiLevelType w:val="hybridMultilevel"/>
    <w:lvl w:ilvl="0">
      <w:lvlJc w:val="left"/>
      <w:lvlText w:val="%1."/>
      <w:numFmt w:val="decimal"/>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2023-02-14T05:34:28Z</dcterms:created>
  <dcterms:modified xsi:type="dcterms:W3CDTF">2023-02-14T05:34:28Z</dcterms:modified>
</cp:coreProperties>
</file>