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Dick Teresa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RATTLER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RTLR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units representing limited</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08/24/2022</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49,965</w:t>
            </w:r>
            <w:r>
              <w:rPr>
                <w:rFonts w:ascii="Times New Roman" w:cs="Times New Roman" w:eastAsia="Times New Roman" w:hAnsi="Times New Roman"/>
                <w:sz w:val="22"/>
                <w:szCs w:val="22"/>
                <w:color w:val="008000"/>
                <w:vertAlign w:val="superscript"/>
              </w:rPr>
              <w:t>(1)(2)</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 interests</w:t>
            </w: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dated May 15, 2022 by and among the Issuer, Diamondback Energy, Inc. ("Diamondback"), Rattler Midstream GP LLC, the general partner of Issuer, and Bacchus Merger Sub Company, a wholly owned subsidiary of Diamondback ("Merger Sub"), on August 24, 2022, Merger Sub merged with and into the Issuer, with the Issuer surviving as an indirect, wholly owned subsidiary of Diamondback (the "Merger"). At the effective time of the Merger (the "Effective Time"), each outstanding Common Unit held by the Reporting Person was converted into the right to receive 0.113 shares (the "Exchange Ratio") of common stock, par value $0.01 per share ("Common Stock"), of Diamondback.</w:t>
      </w:r>
    </w:p>
    <w:p>
      <w:pPr>
        <w:spacing w:after="0" w:line="24"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22,858 phantom units granted under the Rattler Midstream LP Long-Term Incentive Plan that were converted, at the Effective Time, into an award of restricted stock units ("RSUs") relating to a number of shares of Common Stock, as adjusted by the Exchange Ratio. Such RSUs are scheduled to vest in two remaining substantially equal installments beginning on May 28,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Chief Financial Officer and Assistant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Teresa L. Dick</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9931" TargetMode="External"/><Relationship Id="rId13" Type="http://schemas.openxmlformats.org/officeDocument/2006/relationships/hyperlink" Target="http://www.sec.gov/cgi-bin/browse-edgar?action=getcompany&amp;CIK=00017487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2022-08-24T16:30:15Z</dcterms:created>
  <dcterms:modified xsi:type="dcterms:W3CDTF">2022-08-24T16:30:15Z</dcterms:modified>
</cp:coreProperties>
</file>