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Rattler Midstream LP</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75419T103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75419T103</w:t>
      </w:r>
    </w:p>
    <w:p>
      <w:pPr>
        <w:spacing w:after="0" w:line="266"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Macquarie Group Limited</w:t>
      </w:r>
    </w:p>
    <w:p>
      <w:pPr>
        <w:spacing w:after="0" w:line="40"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jc w:val="both"/>
        <w:ind w:left="660" w:right="7620" w:hanging="417"/>
        <w:spacing w:after="0" w:line="430"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Sydney, New South Wales Australia</w:t>
      </w:r>
    </w:p>
    <w:p>
      <w:pPr>
        <w:spacing w:after="0" w:line="1" w:lineRule="exact"/>
        <w:rPr>
          <w:rFonts w:ascii="Times New Roman" w:cs="Times New Roman" w:eastAsia="Times New Roman" w:hAnsi="Times New Roman"/>
          <w:sz w:val="17"/>
          <w:szCs w:val="17"/>
          <w:color w:val="auto"/>
        </w:rPr>
      </w:pPr>
    </w:p>
    <w:p>
      <w:pPr>
        <w:ind w:left="1740" w:hanging="435"/>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0" w:right="7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deemed beneficially owned due to reporting person’s ownership of Macquarie Management Holdings Inc., Macquarie Investment Management Business Trust whose individual holdings are shown on the following forms.</w:t>
      </w:r>
    </w:p>
    <w:p>
      <w:pPr>
        <w:ind w:left="660" w:hanging="50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0.00%</w:t>
      </w:r>
    </w:p>
    <w:p>
      <w:pPr>
        <w:ind w:left="640" w:hanging="48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2 of 13</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75419T103</w:t>
      </w:r>
    </w:p>
    <w:p>
      <w:pPr>
        <w:spacing w:after="0" w:line="266" w:lineRule="exact"/>
        <w:rPr>
          <w:sz w:val="20"/>
          <w:szCs w:val="20"/>
          <w:color w:val="auto"/>
        </w:rPr>
      </w:pP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Macquarie Management Holdings Inc</w:t>
      </w:r>
    </w:p>
    <w:p>
      <w:pPr>
        <w:spacing w:after="0" w:line="40"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620" w:hanging="417"/>
        <w:spacing w:after="0" w:line="40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Delaware</w:t>
      </w:r>
    </w:p>
    <w:p>
      <w:pPr>
        <w:spacing w:after="0" w:line="1"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0" w:hanging="39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deemed beneficially owned due to reporting person’s ownership of Macquarie Investment Management Business Trust</w:t>
      </w:r>
    </w:p>
    <w:p>
      <w:pPr>
        <w:spacing w:after="0" w:line="36"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0.00%</w:t>
      </w:r>
    </w:p>
    <w:p>
      <w:pPr>
        <w:ind w:left="640" w:hanging="487"/>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3 of 13</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75419T103</w:t>
      </w:r>
    </w:p>
    <w:p>
      <w:pPr>
        <w:spacing w:after="0" w:line="266" w:lineRule="exact"/>
        <w:rPr>
          <w:sz w:val="20"/>
          <w:szCs w:val="20"/>
          <w:color w:val="auto"/>
        </w:rPr>
      </w:pPr>
    </w:p>
    <w:p>
      <w:pPr>
        <w:ind w:left="660" w:hanging="41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4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Macquarie Investment Management Business Trust</w:t>
      </w:r>
    </w:p>
    <w:p>
      <w:pPr>
        <w:spacing w:after="0" w:line="40"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right="7620" w:hanging="417"/>
        <w:spacing w:after="0" w:line="40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Delaware</w:t>
      </w:r>
    </w:p>
    <w:p>
      <w:pPr>
        <w:spacing w:after="0" w:line="1"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9"/>
                <w:szCs w:val="19"/>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0" w:right="5460" w:hanging="417"/>
        <w:spacing w:after="0" w:line="406"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460" w:hanging="507"/>
        <w:spacing w:after="0" w:line="40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0.00%</w:t>
      </w:r>
    </w:p>
    <w:p>
      <w:pPr>
        <w:ind w:left="640" w:hanging="48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4 of 13</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31" w:lineRule="exact"/>
        <w:rPr>
          <w:sz w:val="20"/>
          <w:szCs w:val="20"/>
          <w:color w:val="auto"/>
        </w:rPr>
      </w:pPr>
    </w:p>
    <w:p>
      <w:pPr>
        <w:ind w:left="1440" w:right="7980" w:hanging="688"/>
        <w:spacing w:after="0" w:line="290" w:lineRule="auto"/>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Rattler Midstream LP</w:t>
      </w:r>
    </w:p>
    <w:p>
      <w:pPr>
        <w:spacing w:after="0" w:line="49" w:lineRule="exact"/>
        <w:rPr>
          <w:rFonts w:ascii="Times New Roman" w:cs="Times New Roman" w:eastAsia="Times New Roman" w:hAnsi="Times New Roman"/>
          <w:sz w:val="17"/>
          <w:szCs w:val="17"/>
          <w:color w:val="auto"/>
        </w:rPr>
      </w:pPr>
    </w:p>
    <w:p>
      <w:pPr>
        <w:ind w:left="1440" w:hanging="68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West Texas Ave, Suite 1200, Midland, TX 79701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99" w:lineRule="exact"/>
        <w:rPr>
          <w:sz w:val="20"/>
          <w:szCs w:val="20"/>
          <w:color w:val="auto"/>
        </w:rPr>
      </w:pPr>
    </w:p>
    <w:p>
      <w:pPr>
        <w:ind w:left="1440" w:hanging="68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jointly filed by Macquarie Group Limited, Macquarie Investment Management Holdings Inc, Macquarie Investment Management Business Trust</w:t>
      </w:r>
    </w:p>
    <w:p>
      <w:pPr>
        <w:spacing w:after="0" w:line="73" w:lineRule="exact"/>
        <w:rPr>
          <w:rFonts w:ascii="Times New Roman" w:cs="Times New Roman" w:eastAsia="Times New Roman" w:hAnsi="Times New Roman"/>
          <w:sz w:val="18"/>
          <w:szCs w:val="18"/>
          <w:color w:val="auto"/>
        </w:rPr>
      </w:pPr>
    </w:p>
    <w:p>
      <w:pPr>
        <w:ind w:left="1440" w:hanging="68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7" w:lineRule="exact"/>
        <w:rPr>
          <w:rFonts w:ascii="Times New Roman" w:cs="Times New Roman" w:eastAsia="Times New Roman" w:hAnsi="Times New Roman"/>
          <w:sz w:val="18"/>
          <w:szCs w:val="18"/>
          <w:color w:val="auto"/>
        </w:rPr>
      </w:pPr>
    </w:p>
    <w:p>
      <w:pPr>
        <w:jc w:val="both"/>
        <w:ind w:left="14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Macquarie Group Limited is 50 Martin Place Sydney, New South Wales, Australia. The principal business address of Macquarie Management Holdings Inc. and Macquarie Investment Management Business Trust is 2005 Market Street, Philadelphia, PA 19103.</w:t>
      </w:r>
    </w:p>
    <w:p>
      <w:pPr>
        <w:spacing w:after="0" w:line="77" w:lineRule="exact"/>
        <w:rPr>
          <w:rFonts w:ascii="Times New Roman" w:cs="Times New Roman" w:eastAsia="Times New Roman" w:hAnsi="Times New Roman"/>
          <w:sz w:val="18"/>
          <w:szCs w:val="18"/>
          <w:color w:val="auto"/>
        </w:rPr>
      </w:pPr>
    </w:p>
    <w:p>
      <w:pPr>
        <w:ind w:left="1440" w:hanging="68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Group Limited—Sydney, New South Wales, Australia Corporation</w:t>
      </w:r>
    </w:p>
    <w:p>
      <w:pPr>
        <w:spacing w:after="0" w:line="9" w:lineRule="exact"/>
        <w:rPr>
          <w:rFonts w:ascii="Times New Roman" w:cs="Times New Roman" w:eastAsia="Times New Roman" w:hAnsi="Times New Roman"/>
          <w:sz w:val="18"/>
          <w:szCs w:val="18"/>
          <w:color w:val="auto"/>
        </w:rPr>
      </w:pPr>
    </w:p>
    <w:p>
      <w:pPr>
        <w:ind w:left="14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Macquarie Management Holdings Inc., Macquarie Investment Management Business Trust – incorporated or formed under the laws of the State of Delaware.</w:t>
      </w:r>
    </w:p>
    <w:p>
      <w:pPr>
        <w:spacing w:after="0" w:line="86" w:lineRule="exact"/>
        <w:rPr>
          <w:rFonts w:ascii="Times New Roman" w:cs="Times New Roman" w:eastAsia="Times New Roman" w:hAnsi="Times New Roman"/>
          <w:sz w:val="18"/>
          <w:szCs w:val="18"/>
          <w:color w:val="auto"/>
        </w:rPr>
      </w:pPr>
    </w:p>
    <w:p>
      <w:pPr>
        <w:ind w:left="1440" w:right="7620" w:hanging="688"/>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53" w:lineRule="exact"/>
        <w:rPr>
          <w:rFonts w:ascii="Times New Roman" w:cs="Times New Roman" w:eastAsia="Times New Roman" w:hAnsi="Times New Roman"/>
          <w:sz w:val="18"/>
          <w:szCs w:val="18"/>
          <w:color w:val="auto"/>
        </w:rPr>
      </w:pPr>
    </w:p>
    <w:p>
      <w:pPr>
        <w:ind w:left="1440" w:right="8400" w:hanging="688"/>
        <w:spacing w:after="0" w:line="312" w:lineRule="auto"/>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75419T103</w:t>
      </w:r>
    </w:p>
    <w:p>
      <w:pPr>
        <w:spacing w:after="0" w:line="24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92" w:lineRule="exact"/>
        <w:rPr>
          <w:sz w:val="20"/>
          <w:szCs w:val="20"/>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440" w:hanging="688"/>
        <w:spacing w:after="0" w:line="239" w:lineRule="exact"/>
        <w:tabs>
          <w:tab w:leader="none" w:pos="1076"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1080" w:hanging="328"/>
        <w:spacing w:after="0" w:line="207" w:lineRule="exact"/>
        <w:tabs>
          <w:tab w:leader="none" w:pos="108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440" w:right="140" w:hanging="688"/>
        <w:spacing w:after="0" w:line="239" w:lineRule="exact"/>
        <w:tabs>
          <w:tab w:leader="none" w:pos="1076"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institution:____________________________</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13</w:t>
      </w:r>
    </w:p>
    <w:p>
      <w:pPr>
        <w:sectPr>
          <w:pgSz w:w="11900" w:h="16838" w:orient="portrait"/>
          <w:cols w:equalWidth="0" w:num="1">
            <w:col w:w="10980"/>
          </w:cols>
          <w:pgMar w:left="440" w:top="266" w:right="479" w:bottom="1440" w:gutter="0" w:footer="0" w:header="0"/>
        </w:sectPr>
      </w:pPr>
    </w:p>
    <w:bookmarkStart w:id="5" w:name="page6"/>
    <w:bookmarkEnd w:id="5"/>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080" w:hanging="328"/>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3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on the cover page hereto.</w:t>
      </w:r>
    </w:p>
    <w:p>
      <w:pPr>
        <w:spacing w:after="0" w:line="130"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30"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responses on the cover page hereto.</w:t>
      </w:r>
    </w:p>
    <w:p>
      <w:pPr>
        <w:spacing w:after="0" w:line="130" w:lineRule="exact"/>
        <w:rPr>
          <w:rFonts w:ascii="Times New Roman" w:cs="Times New Roman" w:eastAsia="Times New Roman" w:hAnsi="Times New Roman"/>
          <w:sz w:val="18"/>
          <w:szCs w:val="18"/>
          <w:color w:val="auto"/>
        </w:rPr>
      </w:pPr>
    </w:p>
    <w:p>
      <w:pPr>
        <w:ind w:left="1080" w:hanging="328"/>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jc w:val="both"/>
        <w:ind w:left="1540" w:right="6480" w:hanging="464"/>
        <w:spacing w:after="0" w:line="391"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responses on the cover page hereto.</w:t>
      </w:r>
    </w:p>
    <w:p>
      <w:pPr>
        <w:ind w:left="1540" w:right="6360" w:hanging="464"/>
        <w:spacing w:after="0" w:line="391"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1540" w:right="5640" w:hanging="464"/>
        <w:spacing w:after="0" w:line="391"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responses on the cover page hereto.</w:t>
      </w:r>
    </w:p>
    <w:p>
      <w:pPr>
        <w:ind w:left="1540" w:right="5460" w:hanging="464"/>
        <w:spacing w:after="0" w:line="423"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right="2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3" w:lineRule="exact"/>
        <w:rPr>
          <w:sz w:val="20"/>
          <w:szCs w:val="20"/>
          <w:color w:val="auto"/>
        </w:rPr>
      </w:pPr>
    </w:p>
    <w:p>
      <w:pPr>
        <w:ind w:right="5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6. Ownership of More than Five Percent on Behalf of Another Person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ind w:left="760" w:hanging="755"/>
        <w:spacing w:after="0" w:line="28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A.</w:t>
      </w:r>
    </w:p>
    <w:p>
      <w:pPr>
        <w:spacing w:after="0" w:line="3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6 of 13</w:t>
      </w:r>
    </w:p>
    <w:p>
      <w:pPr>
        <w:sectPr>
          <w:pgSz w:w="11900" w:h="16838" w:orient="portrait"/>
          <w:cols w:equalWidth="0" w:num="1">
            <w:col w:w="10900"/>
          </w:cols>
          <w:pgMar w:left="440" w:top="266" w:right="55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13</w:t>
      </w:r>
    </w:p>
    <w:p>
      <w:pPr>
        <w:sectPr>
          <w:pgSz w:w="11900" w:h="16838" w:orient="portrait"/>
          <w:cols w:equalWidth="0" w:num="1">
            <w:col w:w="11000"/>
          </w:cols>
          <w:pgMar w:left="440" w:top="266"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Macquarie Group Limited</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14, 2023</w:t>
            </w:r>
          </w:p>
        </w:tc>
      </w:tr>
      <w:tr>
        <w:trPr>
          <w:trHeight w:val="228"/>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7"/>
        </w:trPr>
        <w:tc>
          <w:tcPr>
            <w:tcW w:w="58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/s/ Michael Wainer</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Charles Glorioso</w:t>
            </w: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19"/>
                <w:szCs w:val="19"/>
                <w:color w:val="auto"/>
              </w:rPr>
            </w:pPr>
          </w:p>
        </w:tc>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5840" w:type="dxa"/>
            <w:vAlign w:val="bottom"/>
            <w:gridSpan w:val="2"/>
          </w:tcPr>
          <w:p>
            <w:pPr>
              <w:spacing w:after="0"/>
              <w:rPr>
                <w:sz w:val="24"/>
                <w:szCs w:val="24"/>
                <w:color w:val="auto"/>
              </w:rPr>
            </w:pPr>
          </w:p>
        </w:tc>
        <w:tc>
          <w:tcPr>
            <w:tcW w:w="5180" w:type="dxa"/>
            <w:vAlign w:val="bottom"/>
          </w:tcPr>
          <w:p>
            <w:pPr>
              <w:spacing w:after="0"/>
              <w:rPr>
                <w:sz w:val="24"/>
                <w:szCs w:val="24"/>
                <w:color w:val="auto"/>
              </w:rPr>
            </w:pPr>
          </w:p>
        </w:tc>
      </w:tr>
      <w:tr>
        <w:trPr>
          <w:trHeight w:val="205"/>
        </w:trPr>
        <w:tc>
          <w:tcPr>
            <w:tcW w:w="51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Michael Wainer</w:t>
            </w:r>
          </w:p>
        </w:tc>
        <w:tc>
          <w:tcPr>
            <w:tcW w:w="660" w:type="dxa"/>
            <w:vAlign w:val="bottom"/>
          </w:tcPr>
          <w:p>
            <w:pPr>
              <w:spacing w:after="0"/>
              <w:rPr>
                <w:sz w:val="17"/>
                <w:szCs w:val="17"/>
                <w:color w:val="auto"/>
              </w:rPr>
            </w:pPr>
          </w:p>
        </w:tc>
        <w:tc>
          <w:tcPr>
            <w:tcW w:w="51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Charles Glorioso</w:t>
            </w:r>
          </w:p>
        </w:tc>
      </w:tr>
      <w:tr>
        <w:trPr>
          <w:trHeight w:val="234"/>
        </w:trPr>
        <w:tc>
          <w:tcPr>
            <w:tcW w:w="58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Associate Director</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Division Director</w:t>
            </w:r>
          </w:p>
        </w:tc>
      </w:tr>
    </w:tbl>
    <w:p>
      <w:pPr>
        <w:spacing w:after="0" w:line="21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spacing w:after="0"/>
        <w:tabs>
          <w:tab w:leader="none" w:pos="7740" w:val="left"/>
        </w:tabs>
        <w:rPr>
          <w:sz w:val="20"/>
          <w:szCs w:val="20"/>
          <w:color w:val="auto"/>
        </w:rPr>
      </w:pPr>
      <w:r>
        <w:rPr>
          <w:rFonts w:ascii="Times New Roman" w:cs="Times New Roman" w:eastAsia="Times New Roman" w:hAnsi="Times New Roman"/>
          <w:sz w:val="18"/>
          <w:szCs w:val="18"/>
          <w:color w:val="auto"/>
        </w:rPr>
        <w:t>Macquarie Management Holdings, Inc.</w:t>
      </w:r>
      <w:r>
        <w:rPr>
          <w:sz w:val="20"/>
          <w:szCs w:val="20"/>
          <w:color w:val="auto"/>
        </w:rPr>
        <w:tab/>
      </w: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/s/ Brian 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2918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Brian L. Murray</w:t>
      </w:r>
    </w:p>
    <w:p>
      <w:pPr>
        <w:spacing w:after="0" w:line="27"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47" w:lineRule="exact"/>
        <w:rPr>
          <w:sz w:val="20"/>
          <w:szCs w:val="20"/>
          <w:color w:val="auto"/>
        </w:rPr>
      </w:pPr>
    </w:p>
    <w:p>
      <w:pPr>
        <w:spacing w:after="0"/>
        <w:tabs>
          <w:tab w:leader="none" w:pos="7740" w:val="left"/>
        </w:tabs>
        <w:rPr>
          <w:sz w:val="20"/>
          <w:szCs w:val="20"/>
          <w:color w:val="auto"/>
        </w:rPr>
      </w:pPr>
      <w:r>
        <w:rPr>
          <w:rFonts w:ascii="Times New Roman" w:cs="Times New Roman" w:eastAsia="Times New Roman" w:hAnsi="Times New Roman"/>
          <w:sz w:val="18"/>
          <w:szCs w:val="18"/>
          <w:color w:val="auto"/>
        </w:rPr>
        <w:t>Macquarie Investment Management Business Trust</w:t>
      </w:r>
      <w:r>
        <w:rPr>
          <w:sz w:val="20"/>
          <w:szCs w:val="20"/>
          <w:color w:val="auto"/>
        </w:rPr>
        <w:tab/>
      </w:r>
      <w:r>
        <w:rPr>
          <w:rFonts w:ascii="Times New Roman" w:cs="Times New Roman" w:eastAsia="Times New Roman" w:hAnsi="Times New Roman"/>
          <w:sz w:val="17"/>
          <w:szCs w:val="17"/>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/s/ Brian 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2918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Brian L. Murray</w:t>
      </w:r>
    </w:p>
    <w:p>
      <w:pPr>
        <w:spacing w:after="0" w:line="27"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13</w:t>
      </w:r>
    </w:p>
    <w:p>
      <w:pPr>
        <w:sectPr>
          <w:pgSz w:w="11900" w:h="16838" w:orient="portrait"/>
          <w:cols w:equalWidth="0" w:num="1">
            <w:col w:w="11020"/>
          </w:cols>
          <w:pgMar w:left="440" w:top="266" w:right="43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TO FILE JOINT ACQUISITION STATEMENTS</w:t>
      </w:r>
    </w:p>
    <w:p>
      <w:pPr>
        <w:spacing w:after="0" w:line="225" w:lineRule="exact"/>
        <w:rPr>
          <w:sz w:val="20"/>
          <w:szCs w:val="20"/>
          <w:color w:val="auto"/>
        </w:rPr>
      </w:pPr>
    </w:p>
    <w:p>
      <w:pPr>
        <w:ind w:left="4" w:right="480"/>
        <w:spacing w:after="0" w:line="224" w:lineRule="auto"/>
        <w:rPr>
          <w:sz w:val="20"/>
          <w:szCs w:val="20"/>
          <w:color w:val="auto"/>
        </w:rPr>
      </w:pPr>
      <w:r>
        <w:rPr>
          <w:rFonts w:ascii="Times New Roman" w:cs="Times New Roman" w:eastAsia="Times New Roman" w:hAnsi="Times New Roman"/>
          <w:sz w:val="18"/>
          <w:szCs w:val="18"/>
          <w:color w:val="auto"/>
        </w:rPr>
        <w:t>AGREEMENT made this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day of FEBRUARY, 2021 by and between Delaware Funds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Macquarie listed on Annex A hereto, Macquarie Investment Management Business Trust, Macquarie Management Holdings, Inc, and the Macquarie Parties listed on Annex B hereto (collectively referred to as the “parties”).</w:t>
      </w:r>
    </w:p>
    <w:p>
      <w:pPr>
        <w:spacing w:after="0" w:line="19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WHEREAS, the parties hereto may be deemed to be the direct or indirect beneficial owners of the same equity securities for the purpose of the reporting requirements of Section 13(d) of the Securities Exchange Act of 1934, as amended (the “Exchange Act”), and</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WHEREAS, the regulations promulgated under Section 13(d) of the Exchange Act permit the joining of such beneficial owners in the filing of a single Joint Acquisition Statement reporting such ownership to the Securities and Exchange Commission.</w:t>
      </w:r>
    </w:p>
    <w:p>
      <w:pPr>
        <w:spacing w:after="0" w:line="162"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herein contained, and each of the parties hereto intending to be legally bound, it is agreed as follows:</w:t>
      </w:r>
    </w:p>
    <w:p>
      <w:pPr>
        <w:spacing w:after="0" w:line="162" w:lineRule="exact"/>
        <w:rPr>
          <w:sz w:val="20"/>
          <w:szCs w:val="20"/>
          <w:color w:val="auto"/>
        </w:rPr>
      </w:pPr>
    </w:p>
    <w:p>
      <w:pPr>
        <w:ind w:left="4" w:hanging="4"/>
        <w:spacing w:after="0" w:line="255"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two or more parties shall be deemed to be the direct or indirect beneficial owners of the same equity security required to be reported to the Securities and Exchange Commission such parties may join together in the filing of a Joint Acquisition Statement with respect to that security. Additional persons who may after the date hereof be deemed to be the direct or indirect beneficial owners of the same equity security as a party hereto and required to be reported to the Securities and Exchange Commission (a “New Party”) may be added as a party this agreement by signing a counterpart hereof. An amendment to this agreement is deemed effective upon the signature of such new party and the amendment of the applicable Annex which may be affixed to this agreement as amended. Each party hereto agrees that this agreement, as it may be amended from time to time as provided herein, is a valid and binding agreement of each such party.</w:t>
      </w:r>
    </w:p>
    <w:p>
      <w:pPr>
        <w:spacing w:after="0" w:line="188" w:lineRule="exact"/>
        <w:rPr>
          <w:rFonts w:ascii="Times New Roman" w:cs="Times New Roman" w:eastAsia="Times New Roman" w:hAnsi="Times New Roman"/>
          <w:sz w:val="18"/>
          <w:szCs w:val="18"/>
          <w:color w:val="auto"/>
        </w:rPr>
      </w:pPr>
    </w:p>
    <w:p>
      <w:pPr>
        <w:ind w:left="4" w:right="60" w:hanging="4"/>
        <w:spacing w:after="0" w:line="258"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Joint Acquisition Statement in which a party joins, each party acknowledges that (a) it will be eligible under applicable regulations of the Securities and Exchange Commission to join in the filing and (b) it will be responsible for the timely filing of such statement and any amendments thereto and the completeness and accuracy of the information concerning such party; but each such party shall not be responsible for the completeness and accuracy of the information concerning the other parties making the filing, unless such party knows or has reason to believe that such information with respect to such other parties is inaccurate.</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consent to the inclusion of a copy of this agreement as an exhibit to any Joint Acquisition Statement filed on behalf of any of them.</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9 of 13</w:t>
      </w:r>
    </w:p>
    <w:p>
      <w:pPr>
        <w:sectPr>
          <w:pgSz w:w="11900" w:h="16838" w:orient="portrait"/>
          <w:cols w:equalWidth="0" w:num="1">
            <w:col w:w="10984"/>
          </w:cols>
          <w:pgMar w:left="436" w:top="117"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by their duly authorized officers as of the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 FUNDS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BY MACQUARIE (listed on Annex A hereto)</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ATTEST BY:</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6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9"/>
              </w:rPr>
              <w:t>/s/ Brian L. Murray</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Brian L. Murray</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553"/>
        </w:trPr>
        <w:tc>
          <w:tcPr>
            <w:tcW w:w="6860" w:type="dxa"/>
            <w:vAlign w:val="bottom"/>
            <w:gridSpan w:val="3"/>
          </w:tcPr>
          <w:p>
            <w:pPr>
              <w:jc w:val="center"/>
              <w:ind w:right="1720"/>
              <w:spacing w:after="0"/>
              <w:rPr>
                <w:sz w:val="20"/>
                <w:szCs w:val="20"/>
                <w:color w:val="auto"/>
              </w:rPr>
            </w:pPr>
            <w:r>
              <w:rPr>
                <w:rFonts w:ascii="Times New Roman" w:cs="Times New Roman" w:eastAsia="Times New Roman" w:hAnsi="Times New Roman"/>
                <w:sz w:val="18"/>
                <w:szCs w:val="18"/>
                <w:color w:val="auto"/>
                <w:w w:val="99"/>
              </w:rPr>
              <w:t>MACQUARIE INVESTMENT MANAGEMENT BUSINESS TRUST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6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9"/>
              </w:rPr>
              <w:t>/s/ Brian L. Murray</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Brian L. Murray</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46"/>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MACQUARIE MANAGEMENT HOLDINGS, INC.</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6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color w:val="auto"/>
                <w:w w:val="99"/>
              </w:rPr>
              <w:t>/s/ Brian L. Murray</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David Connor</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Brian L. Murray</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David Connor</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8"/>
              </w:rPr>
              <w:t>Chief Compliance Officer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General Counsel</w:t>
            </w:r>
          </w:p>
        </w:tc>
        <w:tc>
          <w:tcPr>
            <w:tcW w:w="0" w:type="dxa"/>
            <w:vAlign w:val="bottom"/>
          </w:tcPr>
          <w:p>
            <w:pPr>
              <w:spacing w:after="0"/>
              <w:rPr>
                <w:sz w:val="1"/>
                <w:szCs w:val="1"/>
                <w:color w:val="auto"/>
              </w:rPr>
            </w:pPr>
          </w:p>
        </w:tc>
      </w:tr>
      <w:tr>
        <w:trPr>
          <w:trHeight w:val="445"/>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MACQUARIE PARTIES (LISTED ON ANNEX B HERETO)</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ATTEST BY:</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/s/ Michael Wainer</w:t>
            </w:r>
          </w:p>
        </w:tc>
        <w:tc>
          <w:tcPr>
            <w:tcW w:w="416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Charles Glorioso</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Signature</w:t>
            </w:r>
          </w:p>
        </w:tc>
        <w:tc>
          <w:tcPr>
            <w:tcW w:w="5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414"/>
        </w:trPr>
        <w:tc>
          <w:tcPr>
            <w:tcW w:w="5180" w:type="dxa"/>
            <w:vAlign w:val="bottom"/>
            <w:tcBorders>
              <w:bottom w:val="single" w:sz="8" w:color="auto"/>
            </w:tcBorders>
          </w:tcPr>
          <w:p>
            <w:pPr>
              <w:spacing w:after="0"/>
              <w:rPr>
                <w:sz w:val="24"/>
                <w:szCs w:val="24"/>
                <w:color w:val="auto"/>
              </w:rPr>
            </w:pPr>
          </w:p>
        </w:tc>
        <w:tc>
          <w:tcPr>
            <w:tcW w:w="560" w:type="dxa"/>
            <w:vAlign w:val="bottom"/>
            <w:vMerge w:val="restart"/>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Michael Wainer</w:t>
            </w:r>
          </w:p>
        </w:tc>
        <w:tc>
          <w:tcPr>
            <w:tcW w:w="5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160" w:type="dxa"/>
            <w:vAlign w:val="bottom"/>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w w:val="99"/>
              </w:rPr>
              <w:t>Charles Glorioso</w:t>
            </w:r>
          </w:p>
        </w:tc>
        <w:tc>
          <w:tcPr>
            <w:tcW w:w="0" w:type="dxa"/>
            <w:vAlign w:val="bottom"/>
          </w:tcPr>
          <w:p>
            <w:pPr>
              <w:spacing w:after="0"/>
              <w:rPr>
                <w:sz w:val="1"/>
                <w:szCs w:val="1"/>
                <w:color w:val="auto"/>
              </w:rPr>
            </w:pPr>
          </w:p>
        </w:tc>
      </w:tr>
      <w:tr>
        <w:trPr>
          <w:trHeight w:val="234"/>
        </w:trPr>
        <w:tc>
          <w:tcPr>
            <w:tcW w:w="68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color w:val="auto"/>
                <w:w w:val="99"/>
              </w:rPr>
              <w:t>Associate Director</w:t>
            </w:r>
          </w:p>
        </w:tc>
        <w:tc>
          <w:tcPr>
            <w:tcW w:w="41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Division Director</w:t>
            </w:r>
          </w:p>
        </w:tc>
        <w:tc>
          <w:tcPr>
            <w:tcW w:w="0" w:type="dxa"/>
            <w:vAlign w:val="bottom"/>
          </w:tcPr>
          <w:p>
            <w:pPr>
              <w:spacing w:after="0"/>
              <w:rPr>
                <w:sz w:val="1"/>
                <w:szCs w:val="1"/>
                <w:color w:val="auto"/>
              </w:rPr>
            </w:pPr>
          </w:p>
        </w:tc>
      </w:tr>
      <w:tr>
        <w:trPr>
          <w:trHeight w:val="378"/>
        </w:trPr>
        <w:tc>
          <w:tcPr>
            <w:tcW w:w="6860" w:type="dxa"/>
            <w:vAlign w:val="bottom"/>
            <w:gridSpan w:val="3"/>
          </w:tcPr>
          <w:p>
            <w:pPr>
              <w:ind w:left="5000"/>
              <w:spacing w:after="0"/>
              <w:rPr>
                <w:sz w:val="20"/>
                <w:szCs w:val="20"/>
                <w:color w:val="auto"/>
              </w:rPr>
            </w:pPr>
            <w:r>
              <w:rPr>
                <w:rFonts w:ascii="Times New Roman" w:cs="Times New Roman" w:eastAsia="Times New Roman" w:hAnsi="Times New Roman"/>
                <w:sz w:val="18"/>
                <w:szCs w:val="18"/>
                <w:color w:val="auto"/>
              </w:rPr>
              <w:t>Page 10 of 13</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right"/>
        <w:ind w:right="28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 Delaware Funds</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by Macquarie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EQUITY FUNDS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EQUITY FUNDS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EQUITY FUNDS 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EQUITY FUNDS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INCOME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LIMITED-TERM GOVERNMENT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CASH RESERVE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GOVERNMENT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STATE TAX-FREE INCOME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TAX-FREE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GLOBAL &amp; INTERNATIONAL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ADVISER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VIP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POOLED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GROUP FOUNDATION FUNDS</w:t>
      </w:r>
    </w:p>
    <w:p>
      <w:pPr>
        <w:spacing w:after="0" w:line="9" w:lineRule="exact"/>
        <w:rPr>
          <w:sz w:val="20"/>
          <w:szCs w:val="20"/>
          <w:color w:val="auto"/>
        </w:rPr>
      </w:pPr>
    </w:p>
    <w:p>
      <w:pPr>
        <w:jc w:val="both"/>
        <w:ind w:right="4599"/>
        <w:spacing w:after="0" w:line="250" w:lineRule="auto"/>
        <w:rPr>
          <w:sz w:val="20"/>
          <w:szCs w:val="20"/>
          <w:color w:val="auto"/>
        </w:rPr>
      </w:pPr>
      <w:r>
        <w:rPr>
          <w:rFonts w:ascii="Times New Roman" w:cs="Times New Roman" w:eastAsia="Times New Roman" w:hAnsi="Times New Roman"/>
          <w:sz w:val="18"/>
          <w:szCs w:val="18"/>
          <w:color w:val="auto"/>
        </w:rPr>
        <w:t>DELAWARE INVESTMENTS DIVIDEND AND INCOME FUND, INC. DELAWARE ENHANCED GLOBAL DIVIDEND AND INCOME FUND INVESTED PORTFOLIOS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HIGH INCOME OPPORTUNITIES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FUNDS</w:t>
      </w:r>
    </w:p>
    <w:p>
      <w:pPr>
        <w:spacing w:after="0" w:line="181" w:lineRule="auto"/>
        <w:rPr>
          <w:sz w:val="20"/>
          <w:szCs w:val="20"/>
          <w:color w:val="auto"/>
        </w:rPr>
      </w:pPr>
      <w:r>
        <w:rPr>
          <w:rFonts w:ascii="Times New Roman" w:cs="Times New Roman" w:eastAsia="Times New Roman" w:hAnsi="Times New Roman"/>
          <w:sz w:val="18"/>
          <w:szCs w:val="18"/>
          <w:color w:val="auto"/>
        </w:rPr>
        <w:t>IVY VARIABLE INSURANCE PORTFOLIOS</w:t>
      </w:r>
      <w:r>
        <w:rPr>
          <w:rFonts w:ascii="Times New Roman" w:cs="Times New Roman" w:eastAsia="Times New Roman" w:hAnsi="Times New Roman"/>
          <w:sz w:val="26"/>
          <w:szCs w:val="26"/>
          <w:color w:val="auto"/>
          <w:vertAlign w:val="superscript"/>
        </w:rPr>
        <w:t>SM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INSURED FUNDS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INTERMEDIATE TAX FREE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MUTUAL FUNDS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VOYAGEUR TAX FREE FUNDS</w:t>
      </w:r>
    </w:p>
    <w:p>
      <w:pPr>
        <w:spacing w:after="0" w:line="9" w:lineRule="exact"/>
        <w:rPr>
          <w:sz w:val="20"/>
          <w:szCs w:val="20"/>
          <w:color w:val="auto"/>
        </w:rPr>
      </w:pPr>
    </w:p>
    <w:p>
      <w:pPr>
        <w:ind w:right="3739"/>
        <w:spacing w:after="0" w:line="277" w:lineRule="auto"/>
        <w:rPr>
          <w:sz w:val="20"/>
          <w:szCs w:val="20"/>
          <w:color w:val="auto"/>
        </w:rPr>
      </w:pPr>
      <w:r>
        <w:rPr>
          <w:rFonts w:ascii="Times New Roman" w:cs="Times New Roman" w:eastAsia="Times New Roman" w:hAnsi="Times New Roman"/>
          <w:sz w:val="17"/>
          <w:szCs w:val="17"/>
          <w:color w:val="auto"/>
        </w:rPr>
        <w:t>DELAWARE INVESTMENTS COLORADO MUNICIPAL INCOME FUND, INC. DELAWARE INVESTMENTS NATIONAL MUNICIPAL INCOME FUND DELAWARE INVESTMENTS MINNESOTA MUNICIPAL INCOME FUND II, INC.</w:t>
      </w:r>
    </w:p>
    <w:p>
      <w:pPr>
        <w:spacing w:after="0" w:line="10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Page 11 of 13</w:t>
      </w:r>
    </w:p>
    <w:p>
      <w:pPr>
        <w:sectPr>
          <w:pgSz w:w="11900" w:h="16838" w:orient="portrait"/>
          <w:cols w:equalWidth="0" w:num="1">
            <w:col w:w="10019"/>
          </w:cols>
          <w:pgMar w:left="440" w:top="270" w:right="1440" w:bottom="1440" w:gutter="0" w:footer="0" w:header="0"/>
        </w:sectPr>
      </w:pPr>
    </w:p>
    <w:bookmarkStart w:id="11" w:name="page12"/>
    <w:bookmarkEnd w:id="11"/>
    <w:p>
      <w:pPr>
        <w:jc w:val="right"/>
        <w:ind w:right="32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 — the Macquarie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Bank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Affiliated Managers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Affiliated Managers Holdings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Americas Holdings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B.H.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FG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Funding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Investment Management Europe Limited</w:t>
      </w:r>
    </w:p>
    <w:p>
      <w:pPr>
        <w:spacing w:after="0" w:line="1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Page12 of 13</w:t>
      </w:r>
    </w:p>
    <w:p>
      <w:pPr>
        <w:sectPr>
          <w:pgSz w:w="11900" w:h="16838" w:orient="portrait"/>
          <w:cols w:equalWidth="0" w:num="1">
            <w:col w:w="10019"/>
          </w:cols>
          <w:pgMar w:left="440" w:top="27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Powers of Attorney for Macquarie Group Limited and Macquarie Bank Limited incorporated by reference to 13G filings made by Macquarie Group Limited and Macquarie Bank Limited on May 25, 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13</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3"/>
    </w:lvl>
    <w:lvl w:ilvl="1">
      <w:lvlJc w:val="left"/>
      <w:lvlText w:val="%2."/>
      <w:numFmt w:val="decimal"/>
      <w:start w:val="5"/>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3"/>
    </w:lvl>
    <w:lvl w:ilvl="1">
      <w:lvlJc w:val="left"/>
      <w:lvlText w:val="%2."/>
      <w:numFmt w:val="decimal"/>
      <w:start w:val="5"/>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lvl w:ilvl="1">
      <w:lvlJc w:val="left"/>
      <w:lvlText w:val="%2."/>
      <w:numFmt w:val="decimal"/>
      <w:start w:val="5"/>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2023-02-14T12:29:11Z</dcterms:created>
  <dcterms:modified xsi:type="dcterms:W3CDTF">2023-02-14T12:29:11Z</dcterms:modified>
</cp:coreProperties>
</file>