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RATTLER MIDSTREAM LP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744"/>
        <w:spacing w:after="0"/>
        <w:rPr>
          <w:sz w:val="20"/>
          <w:szCs w:val="20"/>
          <w:color w:val="auto"/>
        </w:rPr>
      </w:pPr>
      <w:r>
        <w:rPr>
          <w:rFonts w:ascii="Times New Roman" w:cs="Times New Roman" w:eastAsia="Times New Roman" w:hAnsi="Times New Roman"/>
          <w:sz w:val="18"/>
          <w:szCs w:val="18"/>
          <w:b w:val="1"/>
          <w:bCs w:val="1"/>
          <w:color w:val="auto"/>
        </w:rPr>
        <w:t>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001-38919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83-1404608</w:t>
      </w:r>
    </w:p>
    <w:p>
      <w:pPr>
        <w:spacing w:after="0" w:line="2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34"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500 West Texas</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Suite 1200</w:t>
      </w:r>
    </w:p>
    <w:p>
      <w:pPr>
        <w:spacing w:after="0" w:line="9"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Midland, 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79701</w:t>
      </w:r>
    </w:p>
    <w:p>
      <w:pPr>
        <w:spacing w:after="0" w:line="36" w:lineRule="exact"/>
        <w:rPr>
          <w:sz w:val="24"/>
          <w:szCs w:val="24"/>
          <w:color w:val="auto"/>
        </w:rPr>
      </w:pPr>
    </w:p>
    <w:p>
      <w:pPr>
        <w:sectPr>
          <w:pgSz w:w="11900" w:h="16838" w:orient="portrait"/>
          <w:cols w:equalWidth="0" w:num="2">
            <w:col w:w="7384" w:space="720"/>
            <w:col w:w="2920"/>
          </w:cols>
          <w:pgMar w:left="436" w:top="376" w:right="439" w:bottom="1440" w:gutter="0" w:footer="0" w:header="0"/>
          <w:type w:val="continuous"/>
        </w:sectPr>
      </w:pPr>
    </w:p>
    <w:p>
      <w:pPr>
        <w:jc w:val="center"/>
        <w:ind w:right="1776"/>
        <w:spacing w:after="0"/>
        <w:rPr>
          <w:sz w:val="20"/>
          <w:szCs w:val="20"/>
          <w:color w:val="auto"/>
        </w:rPr>
      </w:pPr>
      <w:r>
        <w:rPr>
          <w:rFonts w:ascii="Times New Roman" w:cs="Times New Roman" w:eastAsia="Times New Roman" w:hAnsi="Times New Roman"/>
          <w:sz w:val="14"/>
          <w:szCs w:val="14"/>
          <w:b w:val="1"/>
          <w:bCs w:val="1"/>
          <w:color w:val="auto"/>
        </w:rPr>
        <w:t>(Address of principal</w:t>
      </w:r>
    </w:p>
    <w:p>
      <w:pPr>
        <w:jc w:val="center"/>
        <w:ind w:right="1776"/>
        <w:spacing w:after="0"/>
        <w:rPr>
          <w:sz w:val="20"/>
          <w:szCs w:val="20"/>
          <w:color w:val="auto"/>
        </w:rPr>
      </w:pPr>
      <w:r>
        <w:rPr>
          <w:rFonts w:ascii="Times New Roman" w:cs="Times New Roman" w:eastAsia="Times New Roman" w:hAnsi="Times New Roman"/>
          <w:sz w:val="14"/>
          <w:szCs w:val="14"/>
          <w:b w:val="1"/>
          <w:bCs w:val="1"/>
          <w:color w:val="auto"/>
        </w:rPr>
        <w:t>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89"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(432) 221-7400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6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384" w:right="2380" w:hanging="238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Securities Exchange Act of 1934:</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Units</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5"/>
              </w:rPr>
              <w:t>RTLR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12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Merger (defined below), the Credit Agreement, dated as of May 28, 2019, among Rattler Midstream LP, a Delaware limited partnership (“Rattler”), Rattler Midstream Operating LLC, a Delaware limited liability company (“Rattler OpCo”), each of the lenders from time to time party thereto and Wells Fargo Bank, National Association, as administrative agent for the lenders, as amended by that certain First Amendment to Credit Agreement and Guaranty and Security Agreement, dated as of October 23, 2019, that certain Second Amendment to Credit Agreement, dated as of November 2, 2020, that certain Third Amendment to Credit Agreement, dated as of December 21, 2021, and that certain Fourth Amendment to Credit Agreement, dated as of June 8, 2022 (as so amended, the “Credit Agreement”), was terminated, all obligations thereunder were repaid and all liens granted to secure such obligations were released. Among other things, the Credit Agreement provided for a revolving credit facility in the maximum amount of $600.0 million and was scheduled to mature on May 28, 2024. The obligations under the Credit Agreement were guaranteed by Rattler, Tall City Towers LLC, Rattler OMOG LLC, Rattler Ajax Processing LLC, Rattler WTG LLC and Rattler Holdings LLC and were secured by substantially all of Rattler OpCo’s and the guarantors’ assets.</w:t>
      </w:r>
    </w:p>
    <w:p>
      <w:pPr>
        <w:spacing w:after="0" w:line="339"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121"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On August 24, 2022, pursuant to the terms of the previously disclosed Agreement and Plan of Merger (the “Merger Agreement”) by and among Rattler, Diamondback Energy, Inc., a Delaware corporation (“Diamondback”), Rattler Midstream GP LLC, a Delaware limited liability company and the general partner of Rattler (the “General Partner”), and Bacchus Merger Sub Company, a Delaware corporation and wholly owned subsidiary of Diamondback (“Merger Sub”), Merger Sub merged with and into Rattler (the “Merger”), with Rattler as the surviving entity in the Merger.</w:t>
      </w:r>
    </w:p>
    <w:p>
      <w:pPr>
        <w:spacing w:after="0" w:line="180"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the terms and conditions of the Merger Agreement, at the effective time of the Merger (the “Effective Time”), each issued and outstanding publicly held common unit representing a limited partner interest in Rattler (each, a “Common Unit”) (other than any Common Units owned by Diamondback and its subsidiaries) (each, a “Public Common Unit”) was converted into the right to receive 0.113 (the “Exchange Ratio”) of a share of common stock, par value $0.01 per share (“Common Stock”), of Diamondback (the “Merger Consideration”). At the Effective Time,</w:t>
      </w:r>
    </w:p>
    <w:p>
      <w:pPr>
        <w:spacing w:after="0" w:line="3" w:lineRule="exact"/>
        <w:rPr>
          <w:sz w:val="20"/>
          <w:szCs w:val="20"/>
          <w:color w:val="auto"/>
        </w:rPr>
      </w:pPr>
    </w:p>
    <w:p>
      <w:pPr>
        <w:ind w:left="4" w:right="320" w:hanging="4"/>
        <w:spacing w:after="0" w:line="253"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Diamondback E&amp;P LLC, a wholly owned subsidiary of Diamondback (“E&amp;P”), continued as a Limited Partner (as defined in the Merger Agreement) of Rattler and a holder of all of the outstanding Class B units in Rattler, (b) by virtue of the Merger, Diamondback was admitted as a Limited Partner of Rattler and a holder of all of the outstanding Common Units in Rattler, (c) the General Partner continued as the general partner of Rattler, and (d) Rattler (as the surviving entity after the Merger) continued without dissolution as a limited partnership.</w:t>
      </w:r>
    </w:p>
    <w:p>
      <w:pPr>
        <w:spacing w:after="0" w:line="189"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on August 24, 2022, in connection with the completion of the Merger, the Partnership terminated the Rattler Midstream LP Long Term Incentive Plan (the “Rattler LTIP”). Pursuant to the terms and conditions of the Merger Agreement, at the Effective Time, each Partnership Phantom Unit (as defined in the Merger Agreement) that was outstanding immediately prior to the Effective Time was converted into an award of Parent RSUs (as defined in the Merger Agreement), was converted into an award of Parent RSUs (as defined in the Merger Agreement), as adjusted by the Exchange Ratio, and otherwise on the same terms and conditions as were applicable to the corresponding Partnership Phantom Units, including any payment timing provisions and distribution equivalent rights, as applicable.</w:t>
      </w:r>
    </w:p>
    <w:p>
      <w:pPr>
        <w:spacing w:after="0" w:line="187"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Diamondback issued approximately 4.4 million shares of Diamondback Common Stock to the holders of the Public Common Units as the Merger Consideration, as described above.</w:t>
      </w:r>
    </w:p>
    <w:p>
      <w:pPr>
        <w:sectPr>
          <w:pgSz w:w="11900" w:h="16838" w:orient="portrait"/>
          <w:cols w:equalWidth="0" w:num="1">
            <w:col w:w="11024"/>
          </w:cols>
          <w:pgMar w:left="436" w:top="293" w:right="439" w:bottom="1440" w:gutter="0" w:footer="0" w:header="0"/>
        </w:sectPr>
      </w:pPr>
    </w:p>
    <w:bookmarkStart w:id="2" w:name="page3"/>
    <w:bookmarkEnd w:id="2"/>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summary of the Merger Agreement does not purport to be complete and is qualified in its entirety by reference to the full text of the Merger Agreement, a copy of which is filed as Exhibit 2.1 to Rattler’s Current Report on Form 8-K filed with the Securities and Exchange Commission (“SEC”) on May 16, 2022, which agreement is incorporated herein by reference. The Merger Agreement has been included to provide investors with information regarding its terms. It is not intended to provide any other factual information about Rattler, Diamondback or their respective subsidiaries and affiliates.</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1.02 above is incorporated into this Item 2.03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Merger, Rattler (a) notified The Nasdaq Global Select Market (“Nasdaq”) that the Merger had been consummated and (b) requested that Nasdaq (i) suspend trading of the Common Units prior to market open on August 24, 2022, (ii) withdraw the Common Units from listing on Nasdaq and (iii) file with the SEC a Form 25 notification of Removal from Listing and/or Registration to delist and deregister the Common Units under Section 12(b) of the Securities Exchange Act of 1934, as amended (the “Exchange Act”). Rattler intends to file a certification on Form 15 under the Exchange Act with the SEC requesting the deregistration of the Common Units under Section 12(g) of the Exchange Act and the suspension of Rattler’s reporting obligations under Sections 13 and 15(d) of the Exchange Act.</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1.02, Item 2.01 and Item 3.01 above and Item 5.03 below is incorporated into this Item 3.03 by reference.</w:t>
      </w:r>
    </w:p>
    <w:p>
      <w:pPr>
        <w:spacing w:after="0" w:line="370" w:lineRule="exact"/>
        <w:rPr>
          <w:sz w:val="20"/>
          <w:szCs w:val="20"/>
          <w:color w:val="auto"/>
        </w:rPr>
      </w:pPr>
    </w:p>
    <w:p>
      <w:pPr>
        <w:ind w:left="1200" w:right="100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2.01 above is incorporated into this Item 5.02 by reference.</w:t>
      </w:r>
    </w:p>
    <w:p>
      <w:pPr>
        <w:spacing w:after="0" w:line="225" w:lineRule="exact"/>
        <w:rPr>
          <w:sz w:val="20"/>
          <w:szCs w:val="20"/>
          <w:color w:val="auto"/>
        </w:rPr>
      </w:pPr>
    </w:p>
    <w:p>
      <w:pPr>
        <w:ind w:right="540" w:firstLine="440"/>
        <w:spacing w:after="0" w:line="276" w:lineRule="auto"/>
        <w:rPr>
          <w:sz w:val="20"/>
          <w:szCs w:val="20"/>
          <w:color w:val="auto"/>
        </w:rPr>
      </w:pPr>
      <w:r>
        <w:rPr>
          <w:rFonts w:ascii="Times New Roman" w:cs="Times New Roman" w:eastAsia="Times New Roman" w:hAnsi="Times New Roman"/>
          <w:sz w:val="17"/>
          <w:szCs w:val="17"/>
          <w:color w:val="auto"/>
        </w:rPr>
        <w:t>In connection with the Merger, effective as of the Effective Time, Steve E. West, Laurie H. Argo and Arturo Vivar stepped down from their respective roles as members of the board of directors of the General Partner (the “GP Board”). The decision of each of Mr. West, Ms. Argo and</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Mr. Vivar to step down as a member of the GP Board was not the result of any disagreement with the General Partner or Rattler on any matter relating to the operations, policies or practices of the General Partner or Rattler.</w:t>
      </w:r>
    </w:p>
    <w:p>
      <w:pPr>
        <w:spacing w:after="0" w:line="32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On August 24, 2022, in connection with the Merger, (a) Rattler amended and restated its amended and restated agreement of limited partnership and (b) Rattler OpCo amended and restated its amended and restated limited liability company agreement, each to, among other things, outline the rights of its respective unitholders resulting from the Merger.</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On August 24, 2022, in connection with the Merger, the General Partner amended its amended and restated limited liability company agreement to, among other things, reduce the minimum number of directors on the GP Board from three directors to two directors and to eliminate the requirement that the General Partner maintain an audit committee.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On August 24, 2022, Rattler and Diamondback issued a joint press release announcing the closing of the Merger. A copy of the press release is attached hereto as Exhibit 99.1 to this Current Report on Form 8-K and incorporated into this Item 7.01 by reference.</w:t>
      </w:r>
    </w:p>
    <w:p>
      <w:pPr>
        <w:sectPr>
          <w:pgSz w:w="11900" w:h="16838" w:orient="portrait"/>
          <w:cols w:equalWidth="0" w:num="1">
            <w:col w:w="11000"/>
          </w:cols>
          <w:pgMar w:left="440" w:top="297" w:right="459" w:bottom="1440" w:gutter="0" w:footer="0" w:header="0"/>
        </w:sectPr>
      </w:pPr>
    </w:p>
    <w:bookmarkStart w:id="3" w:name="page4"/>
    <w:bookmarkEnd w:id="3"/>
    <w:p>
      <w:pPr>
        <w:jc w:val="both"/>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accordance with General Instruction B.2 of Form 8-K, the information furnished under Item 7.01 of this Current Report on Form 8-K and the exhibit attached hereto are deemed to be “furnished” and shall not be deemed “filed” for the purpose of Section 18 of the Exchange Act, or otherwise subject to the liabilities of that section, nor shall such information and exhibit be deemed incorporated by reference into any filing under the Securities Act of 1933, as amended, or the Exchange Act.</w:t>
      </w:r>
    </w:p>
    <w:p>
      <w:pPr>
        <w:spacing w:after="0" w:line="324"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48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80" w:type="dxa"/>
            <w:vAlign w:val="bottom"/>
            <w:gridSpan w:val="4"/>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spacing w:after="0"/>
              <w:rPr>
                <w:sz w:val="24"/>
                <w:szCs w:val="24"/>
                <w:color w:val="auto"/>
              </w:rPr>
            </w:pPr>
          </w:p>
        </w:tc>
        <w:tc>
          <w:tcPr>
            <w:tcW w:w="9480" w:type="dxa"/>
            <w:vAlign w:val="bottom"/>
            <w:gridSpan w:val="6"/>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Agreement and Plan of Merger, dated as of May 15, 2022, by and among Diamondback Energy, Inc., Rattler Midstream GP LLC,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5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Bacchus Merger Sub Company and Rattler Midstream LP (filed as Exhibit 2.1 to the Registrant’s Current Report on Form 8-K filed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May 16, 2022 and incorporated herein by reference).</w:t>
              </w:r>
            </w:hyperlink>
          </w:p>
        </w:tc>
        <w:tc>
          <w:tcPr>
            <w:tcW w:w="56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95"/>
              </w:rPr>
              <w:t>99.1</w:t>
            </w:r>
          </w:p>
        </w:tc>
        <w:tc>
          <w:tcPr>
            <w:tcW w:w="54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Press release, dated August 24, 2022.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hanging="224"/>
        <w:spacing w:after="0" w:line="282"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601(a)(5) of Regulation S-K and will be provided to the Securities and Exchange Commission upon request.</w:t>
      </w:r>
    </w:p>
    <w:p>
      <w:pPr>
        <w:sectPr>
          <w:pgSz w:w="11900" w:h="16838" w:orient="portrait"/>
          <w:cols w:equalWidth="0" w:num="1">
            <w:col w:w="10924"/>
          </w:cols>
          <w:pgMar w:left="436" w:top="297" w:right="5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RATTLER MIDSTREAM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Rattler Midstream GP LLC,</w:t>
            </w:r>
          </w:p>
        </w:tc>
        <w:tc>
          <w:tcPr>
            <w:tcW w:w="0" w:type="dxa"/>
            <w:vAlign w:val="bottom"/>
          </w:tcPr>
          <w:p>
            <w:pPr>
              <w:spacing w:after="0"/>
              <w:rPr>
                <w:sz w:val="1"/>
                <w:szCs w:val="1"/>
                <w:color w:val="auto"/>
              </w:rPr>
            </w:pPr>
          </w:p>
        </w:tc>
      </w:tr>
      <w:tr>
        <w:trPr>
          <w:trHeight w:val="234"/>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August 24, 2022</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216"/>
        </w:trPr>
        <w:tc>
          <w:tcPr>
            <w:tcW w:w="6160" w:type="dxa"/>
            <w:vAlign w:val="bottom"/>
            <w:vMerge w:val="continue"/>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Teresa L. Dick</w:t>
            </w:r>
          </w:p>
        </w:tc>
        <w:tc>
          <w:tcPr>
            <w:tcW w:w="0" w:type="dxa"/>
            <w:vAlign w:val="bottom"/>
          </w:tcPr>
          <w:p>
            <w:pPr>
              <w:spacing w:after="0"/>
              <w:rPr>
                <w:sz w:val="1"/>
                <w:szCs w:val="1"/>
                <w:color w:val="auto"/>
              </w:rPr>
            </w:pP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Teresa L. Dick</w:t>
            </w:r>
          </w:p>
        </w:tc>
        <w:tc>
          <w:tcPr>
            <w:tcW w:w="0" w:type="dxa"/>
            <w:vAlign w:val="bottom"/>
          </w:tcPr>
          <w:p>
            <w:pPr>
              <w:spacing w:after="0"/>
              <w:rPr>
                <w:sz w:val="1"/>
                <w:szCs w:val="1"/>
                <w:color w:val="auto"/>
              </w:rPr>
            </w:pPr>
          </w:p>
        </w:tc>
      </w:tr>
      <w:tr>
        <w:trPr>
          <w:trHeight w:val="216"/>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Executive Vice</w:t>
            </w:r>
          </w:p>
        </w:tc>
        <w:tc>
          <w:tcPr>
            <w:tcW w:w="0" w:type="dxa"/>
            <w:vAlign w:val="bottom"/>
          </w:tcPr>
          <w:p>
            <w:pPr>
              <w:spacing w:after="0"/>
              <w:rPr>
                <w:sz w:val="1"/>
                <w:szCs w:val="1"/>
                <w:color w:val="auto"/>
              </w:rPr>
            </w:pPr>
          </w:p>
        </w:tc>
      </w:tr>
      <w:tr>
        <w:trPr>
          <w:trHeight w:val="234"/>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Assistant Secretary</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5" w:name="page6"/>
    <w:bookmarkEnd w:id="5"/>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Rattler Midstream LP Announce Completion of Merger</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MIDLAND, Texas, Aug. 24, 2022 (GLOBE NEWSWIRE) – Diamondback Energy, Inc. (NASDAQ: FANG) (“Diamondback”) and Rattler Midstream LP (NASDAQ: RTLR) (“Rattler”) today announced the completion of the previously announced merger between Rattler and Diamondback. The merger resulted in Diamondback acquiring all of the limited partner interests in Rattler not already owned by Diamondback and its subsidiaries. Each public unitholder of Rattler received 0.113 of a share of common stock in Diamondback in exchange for each Rattler common unit owned.</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Effective August 24, 2022, Rattler’s common units will no longer be listed on The Nasdaq Global Select Market, and it will cease to be a publicly traded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Diamondback Energy, Inc.</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Diamondback is an independent oil and natural gas company headquartered in Midland, Texas focused on the acquisition, development, exploration and exploitation of unconventional, onshore oil and natural gas reserves in the Permian Basin in West Texas. For more information, please visit www.diamondbackenergy.com.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Rattler Midstream LP</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Rattler Midstream LP is a Delaware limited partnership formed by Diamondback to own, operate, develop and acquire midstream and energy-related infrastructure assets. Rattler owns crude oil, natural gas and water-related midstream assets in the Permian Basin that provide services to Diamondback and third party customers under primarily long-term, fixed-fee contracts. For more information, please visit www.rattlermidstream.com.</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Investor Contacts:</w:t>
      </w:r>
    </w:p>
    <w:p>
      <w:pPr>
        <w:spacing w:after="0" w:line="225"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7"/>
          <w:szCs w:val="17"/>
          <w:u w:val="single" w:color="auto"/>
          <w:color w:val="auto"/>
        </w:rPr>
        <w:t>Diamondback Energy, Inc.</w:t>
      </w:r>
    </w:p>
    <w:p>
      <w:pPr>
        <w:spacing w:after="0" w:line="237"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color w:val="auto"/>
        </w:rPr>
        <w:t>Adam Lawlis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+1 432.221.7467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alawlis@diamondbackenergy.com</w:t>
      </w:r>
    </w:p>
    <w:p>
      <w:pPr>
        <w:spacing w:after="0" w:line="207"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u w:val="single" w:color="auto"/>
          <w:color w:val="auto"/>
        </w:rPr>
        <w:t>Rattler Midstream LP</w:t>
      </w:r>
    </w:p>
    <w:p>
      <w:pPr>
        <w:spacing w:after="0" w:line="225"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color w:val="auto"/>
        </w:rPr>
        <w:t>Adam Lawlis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+1 432.221.7467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alawlis@rattlermidstream.com</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Jared Carameros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+1 432.247.6213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jcarameros@rattlermidstream.com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0" Type="http://schemas.openxmlformats.org/officeDocument/2006/relationships/hyperlink" Target="http://www.sec.gov/Archives/edgar/data/1748773/000119312522151937/d360984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2022-08-24T16:30:09Z</dcterms:created>
  <dcterms:modified xsi:type="dcterms:W3CDTF">2022-08-24T16:30:09Z</dcterms:modified>
</cp:coreProperties>
</file>