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Rattler Midstream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75419T103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75419T103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5740" w:type="dxa"/>
            <w:vAlign w:val="bottom"/>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40" w:type="dxa"/>
            <w:vAlign w:val="bottom"/>
          </w:tcPr>
          <w:p>
            <w:pPr>
              <w:jc w:val="right"/>
              <w:ind w:right="5192"/>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40" w:type="dxa"/>
            <w:vAlign w:val="bottom"/>
            <w:vMerge w:val="restart"/>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80" w:type="dxa"/>
            <w:vAlign w:val="bottom"/>
            <w:vMerge w:val="continue"/>
          </w:tcPr>
          <w:p>
            <w:pPr>
              <w:spacing w:after="0"/>
              <w:rPr>
                <w:sz w:val="21"/>
                <w:szCs w:val="21"/>
                <w:color w:val="auto"/>
              </w:rPr>
            </w:pPr>
          </w:p>
        </w:tc>
        <w:tc>
          <w:tcPr>
            <w:tcW w:w="5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40" w:type="dxa"/>
            <w:vAlign w:val="bottom"/>
            <w:vMerge w:val="restart"/>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80" w:type="dxa"/>
            <w:vAlign w:val="bottom"/>
            <w:vMerge w:val="continue"/>
          </w:tcPr>
          <w:p>
            <w:pPr>
              <w:spacing w:after="0"/>
              <w:rPr>
                <w:sz w:val="24"/>
                <w:szCs w:val="24"/>
                <w:color w:val="auto"/>
              </w:rPr>
            </w:pPr>
          </w:p>
        </w:tc>
        <w:tc>
          <w:tcPr>
            <w:tcW w:w="5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0.0%</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2460" w:right="6680" w:hanging="1547"/>
        <w:spacing w:after="0" w:line="286" w:lineRule="auto"/>
        <w:tabs>
          <w:tab w:leader="none" w:pos="24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Rattler Midstream LP</w:t>
      </w:r>
    </w:p>
    <w:p>
      <w:pPr>
        <w:spacing w:after="0" w:line="45" w:lineRule="exact"/>
        <w:rPr>
          <w:rFonts w:ascii="Times New Roman" w:cs="Times New Roman" w:eastAsia="Times New Roman" w:hAnsi="Times New Roman"/>
          <w:sz w:val="21"/>
          <w:szCs w:val="21"/>
          <w:b w:val="1"/>
          <w:bCs w:val="1"/>
          <w:color w:val="auto"/>
        </w:rPr>
      </w:pPr>
    </w:p>
    <w:p>
      <w:pPr>
        <w:ind w:left="2460" w:hanging="1547"/>
        <w:spacing w:after="0"/>
        <w:tabs>
          <w:tab w:leader="none" w:pos="24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2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500 West Texas Avenue, Suite 1200, Midland, TX 79701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2460" w:right="6520" w:hanging="1547"/>
        <w:spacing w:after="0" w:line="286" w:lineRule="auto"/>
        <w:tabs>
          <w:tab w:leader="none" w:pos="2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2460" w:hanging="1547"/>
        <w:spacing w:after="0"/>
        <w:tabs>
          <w:tab w:leader="none" w:pos="24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spacing w:after="0" w:line="18" w:lineRule="exact"/>
        <w:rPr>
          <w:rFonts w:ascii="Times New Roman" w:cs="Times New Roman" w:eastAsia="Times New Roman" w:hAnsi="Times New Roman"/>
          <w:sz w:val="22"/>
          <w:szCs w:val="22"/>
          <w:b w:val="1"/>
          <w:bCs w:val="1"/>
          <w:color w:val="auto"/>
        </w:rPr>
      </w:pPr>
    </w:p>
    <w:p>
      <w:pPr>
        <w:ind w:left="2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333 SOUTH HOPE STREET, 55TH FLOOR, LOS ANGELES, CALIFORNIA 90071</w:t>
      </w:r>
    </w:p>
    <w:p>
      <w:pPr>
        <w:spacing w:after="0" w:line="97" w:lineRule="exact"/>
        <w:rPr>
          <w:rFonts w:ascii="Times New Roman" w:cs="Times New Roman" w:eastAsia="Times New Roman" w:hAnsi="Times New Roman"/>
          <w:sz w:val="22"/>
          <w:szCs w:val="22"/>
          <w:b w:val="1"/>
          <w:bCs w:val="1"/>
          <w:color w:val="auto"/>
        </w:rPr>
      </w:pPr>
    </w:p>
    <w:p>
      <w:pPr>
        <w:ind w:left="2460" w:right="7520" w:hanging="1547"/>
        <w:spacing w:after="0" w:line="286" w:lineRule="auto"/>
        <w:tabs>
          <w:tab w:leader="none" w:pos="2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2460" w:right="6180" w:hanging="1547"/>
        <w:spacing w:after="0" w:line="262" w:lineRule="auto"/>
        <w:tabs>
          <w:tab w:leader="none" w:pos="24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2460" w:right="7100" w:hanging="1547"/>
        <w:spacing w:after="0" w:line="286" w:lineRule="auto"/>
        <w:tabs>
          <w:tab w:leader="none" w:pos="2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75419T103</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1"/>
          <w:szCs w:val="21"/>
          <w:color w:val="auto"/>
        </w:rPr>
        <w:t>(e)</w:t>
      </w:r>
      <w:r>
        <w:rPr>
          <w:sz w:val="20"/>
          <w:szCs w:val="20"/>
          <w:color w:val="auto"/>
        </w:rPr>
        <w:tab/>
      </w:r>
      <w:r>
        <w:rPr>
          <w:rFonts w:ascii="Times New Roman" w:cs="Times New Roman" w:eastAsia="Times New Roman" w:hAnsi="Times New Roman"/>
          <w:sz w:val="21"/>
          <w:szCs w:val="21"/>
          <w:color w:val="auto"/>
        </w:rPr>
        <w:t>[X]</w:t>
      </w:r>
    </w:p>
    <w:p>
      <w:pPr>
        <w:spacing w:after="0" w:line="258"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90"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Insurance Company as defined in Section 3(a)(19) of the Act (15 U.S.C. 78c).</w:t>
      </w:r>
    </w:p>
    <w:p>
      <w:pPr>
        <w:spacing w:after="0" w:line="1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An employee benefit plan or endowment fund in accordance with Rule 240.13d-1(b)(1)(ii)(F);</w:t>
      </w:r>
    </w:p>
    <w:p>
      <w:pPr>
        <w:spacing w:after="0" w:line="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parent holding company or control person in accordance with Rule 240.13d-1(b)(1)(ii)(G);</w:t>
      </w:r>
    </w:p>
    <w:p>
      <w:pPr>
        <w:spacing w:after="0" w:line="77"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3(c)(14) of the Investment Company Act of 1940 (15 U.S.C.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80a-3);</w:t>
      </w:r>
    </w:p>
    <w:p>
      <w:pPr>
        <w:spacing w:after="0" w:line="101" w:lineRule="exact"/>
        <w:rPr>
          <w:sz w:val="20"/>
          <w:szCs w:val="20"/>
          <w:color w:val="auto"/>
        </w:rPr>
      </w:pPr>
    </w:p>
    <w:p>
      <w:pPr>
        <w:sectPr>
          <w:pgSz w:w="11900" w:h="16838" w:orient="portrait"/>
          <w:cols w:equalWidth="0" w:num="2">
            <w:col w:w="3520" w:space="720"/>
            <w:col w:w="6800"/>
          </w:cols>
          <w:pgMar w:left="400" w:top="419" w:right="459" w:bottom="0" w:gutter="0" w:footer="0" w:header="0"/>
          <w:type w:val="continuous"/>
        </w:sectPr>
      </w:pPr>
    </w:p>
    <w:p>
      <w:pPr>
        <w:ind w:left="920"/>
        <w:spacing w:after="0"/>
        <w:tabs>
          <w:tab w:leader="none" w:pos="2440" w:val="left"/>
          <w:tab w:leader="none" w:pos="422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r>
        <w:rPr>
          <w:sz w:val="20"/>
          <w:szCs w:val="20"/>
          <w:color w:val="auto"/>
        </w:rPr>
        <w:tab/>
      </w:r>
      <w:r>
        <w:rPr>
          <w:rFonts w:ascii="Times New Roman" w:cs="Times New Roman" w:eastAsia="Times New Roman" w:hAnsi="Times New Roman"/>
          <w:sz w:val="21"/>
          <w:szCs w:val="21"/>
          <w:color w:val="auto"/>
        </w:rPr>
        <w:t>Group, in accordance with Rule 240.13d-1(b)(1)(ii)(J).</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920"/>
        <w:spacing w:after="0"/>
        <w:tabs>
          <w:tab w:leader="none" w:pos="24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Amount Beneficially Owned:</w:t>
      </w:r>
    </w:p>
    <w:p>
      <w:pPr>
        <w:spacing w:after="0" w:line="1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0 **</w:t>
      </w:r>
    </w:p>
    <w:p>
      <w:pPr>
        <w:sectPr>
          <w:pgSz w:w="11900" w:h="16838" w:orient="portrait"/>
          <w:cols w:equalWidth="0" w:num="1">
            <w:col w:w="11040"/>
          </w:cols>
          <w:pgMar w:left="400" w:top="419" w:right="459" w:bottom="0" w:gutter="0" w:footer="0" w:header="0"/>
          <w:type w:val="continuous"/>
        </w:sectPr>
      </w:pPr>
    </w:p>
    <w:p>
      <w:pPr>
        <w:spacing w:after="0" w:line="125" w:lineRule="exact"/>
        <w:rPr>
          <w:sz w:val="20"/>
          <w:szCs w:val="20"/>
          <w:color w:val="auto"/>
        </w:rPr>
      </w:pPr>
    </w:p>
    <w:tbl>
      <w:tblPr>
        <w:tblLayout w:type="fixed"/>
        <w:tblInd w:w="920" w:type="dxa"/>
        <w:tblCellMar>
          <w:top w:w="0" w:type="dxa"/>
          <w:left w:w="0" w:type="dxa"/>
          <w:bottom w:w="0" w:type="dxa"/>
          <w:right w:w="0" w:type="dxa"/>
        </w:tblCellMar>
      </w:tblP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22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Percent of Class:</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22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66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Number of shares as to which such person has:</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22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(i)</w:t>
            </w:r>
          </w:p>
        </w:tc>
        <w:tc>
          <w:tcPr>
            <w:tcW w:w="4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22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(ii)</w:t>
            </w:r>
          </w:p>
        </w:tc>
        <w:tc>
          <w:tcPr>
            <w:tcW w:w="4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0" w:type="dxa"/>
            <w:vAlign w:val="bottom"/>
          </w:tcPr>
          <w:p>
            <w:pPr>
              <w:spacing w:after="0"/>
              <w:rPr>
                <w:sz w:val="1"/>
                <w:szCs w:val="1"/>
                <w:color w:val="auto"/>
              </w:rPr>
            </w:pPr>
          </w:p>
        </w:tc>
      </w:tr>
      <w:tr>
        <w:trPr>
          <w:trHeight w:val="339"/>
        </w:trPr>
        <w:tc>
          <w:tcPr>
            <w:tcW w:w="900" w:type="dxa"/>
            <w:vAlign w:val="bottom"/>
          </w:tcPr>
          <w:p>
            <w:pPr>
              <w:spacing w:after="0"/>
              <w:rPr>
                <w:sz w:val="24"/>
                <w:szCs w:val="24"/>
                <w:color w:val="auto"/>
              </w:rPr>
            </w:pPr>
          </w:p>
        </w:tc>
        <w:tc>
          <w:tcPr>
            <w:tcW w:w="226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(iii)</w:t>
            </w:r>
          </w:p>
        </w:tc>
        <w:tc>
          <w:tcPr>
            <w:tcW w:w="43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sole power to dispose or to direct the disposition</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43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of</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tbl>
      <w:tblPr>
        <w:tblLayout w:type="fixed"/>
        <w:tblInd w:w="246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(iv)</w:t>
            </w:r>
          </w:p>
        </w:tc>
        <w:tc>
          <w:tcPr>
            <w:tcW w:w="414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shared power to dispose or to direct the</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414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disposition of</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8420" w:space="260"/>
            <w:col w:w="2360"/>
          </w:cols>
          <w:pgMar w:left="400" w:top="419" w:right="459" w:bottom="0" w:gutter="0" w:footer="0" w:header="0"/>
          <w:type w:val="continuous"/>
        </w:sectPr>
      </w:pPr>
    </w:p>
    <w:p>
      <w:pPr>
        <w:ind w:right="460"/>
        <w:spacing w:after="0" w:line="282"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60"/>
        <w:spacing w:after="0" w:line="238" w:lineRule="auto"/>
        <w:rPr>
          <w:sz w:val="20"/>
          <w:szCs w:val="20"/>
          <w:color w:val="auto"/>
        </w:rPr>
      </w:pPr>
      <w:r>
        <w:rPr>
          <w:rFonts w:ascii="Times New Roman" w:cs="Times New Roman" w:eastAsia="Times New Roman" w:hAnsi="Times New Roman"/>
          <w:sz w:val="22"/>
          <w:szCs w:val="22"/>
          <w:color w:val="auto"/>
        </w:rPr>
        <w:t>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0 shares or 0.0% of the 38,146,047 shares believed to be outstanding.</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Erik A. Vayntrub</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upperLetter"/>
      <w:start w:val="24"/>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2023-02-13T13:57:31Z</dcterms:created>
  <dcterms:modified xsi:type="dcterms:W3CDTF">2023-02-13T13:57:31Z</dcterms:modified>
</cp:coreProperties>
</file>